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E96D8" w14:textId="307509AA" w:rsidR="004859A0" w:rsidRDefault="004859A0" w:rsidP="00202511">
      <w:pPr>
        <w:rPr>
          <w:color w:val="767171" w:themeColor="background2" w:themeShade="80"/>
          <w:lang w:val="fr-FR"/>
        </w:rPr>
      </w:pPr>
      <w:r>
        <w:rPr>
          <w:color w:val="767171" w:themeColor="background2" w:themeShade="80"/>
          <w:lang w:val="fr-FR"/>
        </w:rPr>
        <w:tab/>
      </w:r>
      <w:r>
        <w:rPr>
          <w:color w:val="767171" w:themeColor="background2" w:themeShade="80"/>
          <w:lang w:val="fr-FR"/>
        </w:rPr>
        <w:tab/>
      </w:r>
      <w:r>
        <w:rPr>
          <w:color w:val="767171" w:themeColor="background2" w:themeShade="80"/>
          <w:lang w:val="fr-FR"/>
        </w:rPr>
        <w:tab/>
      </w:r>
      <w:r>
        <w:rPr>
          <w:color w:val="767171" w:themeColor="background2" w:themeShade="80"/>
          <w:lang w:val="fr-FR"/>
        </w:rPr>
        <w:tab/>
      </w:r>
      <w:r>
        <w:rPr>
          <w:color w:val="767171" w:themeColor="background2" w:themeShade="80"/>
          <w:lang w:val="fr-FR"/>
        </w:rPr>
        <w:tab/>
      </w:r>
      <w:r>
        <w:rPr>
          <w:color w:val="767171" w:themeColor="background2" w:themeShade="80"/>
          <w:lang w:val="fr-FR"/>
        </w:rPr>
        <w:tab/>
      </w:r>
      <w:r>
        <w:rPr>
          <w:color w:val="767171" w:themeColor="background2" w:themeShade="80"/>
          <w:lang w:val="fr-FR"/>
        </w:rPr>
        <w:tab/>
      </w:r>
      <w:r>
        <w:rPr>
          <w:color w:val="767171" w:themeColor="background2" w:themeShade="80"/>
          <w:lang w:val="fr-FR"/>
        </w:rPr>
        <w:tab/>
      </w:r>
      <w:r>
        <w:rPr>
          <w:color w:val="767171" w:themeColor="background2" w:themeShade="80"/>
          <w:lang w:val="fr-FR"/>
        </w:rPr>
        <w:tab/>
      </w:r>
      <w:r>
        <w:rPr>
          <w:color w:val="767171" w:themeColor="background2" w:themeShade="80"/>
          <w:lang w:val="fr-FR"/>
        </w:rPr>
        <w:tab/>
        <w:t>Février 2022</w:t>
      </w:r>
    </w:p>
    <w:p w14:paraId="5C543E25" w14:textId="5796913C" w:rsidR="00202511" w:rsidRPr="004859A0" w:rsidRDefault="00202511" w:rsidP="00202511">
      <w:pPr>
        <w:rPr>
          <w:color w:val="767171" w:themeColor="background2" w:themeShade="80"/>
          <w:lang w:val="fr-FR"/>
        </w:rPr>
      </w:pPr>
      <w:r w:rsidRPr="004859A0">
        <w:rPr>
          <w:color w:val="767171" w:themeColor="background2" w:themeShade="80"/>
          <w:lang w:val="fr-FR"/>
        </w:rPr>
        <w:t>Monsieur le Premier Ministre</w:t>
      </w:r>
      <w:r w:rsidRPr="004859A0">
        <w:rPr>
          <w:color w:val="767171" w:themeColor="background2" w:themeShade="80"/>
          <w:lang w:val="fr-FR"/>
        </w:rPr>
        <w:br/>
        <w:t>Madame la Vice-Première Ministre,</w:t>
      </w:r>
      <w:r w:rsidRPr="004859A0">
        <w:rPr>
          <w:color w:val="767171" w:themeColor="background2" w:themeShade="80"/>
          <w:lang w:val="fr-FR"/>
        </w:rPr>
        <w:br/>
        <w:t>Monsieur le Vice-Premier Ministre,</w:t>
      </w:r>
    </w:p>
    <w:p w14:paraId="4C5F9135" w14:textId="6FB73DA2" w:rsidR="0043522D" w:rsidRPr="004859A0" w:rsidRDefault="0043522D" w:rsidP="0043522D">
      <w:pPr>
        <w:rPr>
          <w:color w:val="767171" w:themeColor="background2" w:themeShade="80"/>
          <w:lang w:val="fr-FR"/>
        </w:rPr>
      </w:pPr>
      <w:r w:rsidRPr="004859A0">
        <w:rPr>
          <w:color w:val="767171" w:themeColor="background2" w:themeShade="80"/>
          <w:lang w:val="fr-FR"/>
        </w:rPr>
        <w:t xml:space="preserve">Je suis fonctionnaire </w:t>
      </w:r>
      <w:proofErr w:type="spellStart"/>
      <w:r w:rsidRPr="004859A0">
        <w:rPr>
          <w:color w:val="767171" w:themeColor="background2" w:themeShade="80"/>
          <w:lang w:val="fr-FR"/>
        </w:rPr>
        <w:t>fédéral</w:t>
      </w:r>
      <w:r w:rsidR="008273C4" w:rsidRPr="004859A0">
        <w:rPr>
          <w:color w:val="767171" w:themeColor="background2" w:themeShade="80"/>
          <w:lang w:val="fr-FR"/>
        </w:rPr>
        <w:t>-e</w:t>
      </w:r>
      <w:proofErr w:type="spellEnd"/>
      <w:r w:rsidRPr="004859A0">
        <w:rPr>
          <w:color w:val="767171" w:themeColor="background2" w:themeShade="80"/>
          <w:lang w:val="fr-FR"/>
        </w:rPr>
        <w:t>. Les discussions sur le contrôle budgétaire commenceront bientôt. Dans le cadre de ces discussions, je voudrais exprimer mes préoccupations pour le Service public fédéral.</w:t>
      </w:r>
    </w:p>
    <w:p w14:paraId="09527387" w14:textId="1AE2478A" w:rsidR="0043522D" w:rsidRPr="004859A0" w:rsidRDefault="0043522D" w:rsidP="0043522D">
      <w:pPr>
        <w:rPr>
          <w:color w:val="767171" w:themeColor="background2" w:themeShade="80"/>
          <w:lang w:val="fr-FR"/>
        </w:rPr>
      </w:pPr>
      <w:r w:rsidRPr="004859A0">
        <w:rPr>
          <w:color w:val="767171" w:themeColor="background2" w:themeShade="80"/>
          <w:lang w:val="fr-FR"/>
        </w:rPr>
        <w:t xml:space="preserve">Depuis 2002, mes collègues et moi-même n'avons pas connu d'augmentation </w:t>
      </w:r>
      <w:r w:rsidR="00202511" w:rsidRPr="004859A0">
        <w:rPr>
          <w:color w:val="767171" w:themeColor="background2" w:themeShade="80"/>
          <w:lang w:val="fr-FR"/>
        </w:rPr>
        <w:t>des échelles de traitement,</w:t>
      </w:r>
      <w:r w:rsidR="007D22D3" w:rsidRPr="004859A0">
        <w:rPr>
          <w:color w:val="767171" w:themeColor="background2" w:themeShade="80"/>
          <w:lang w:val="fr-FR"/>
        </w:rPr>
        <w:t xml:space="preserve"> hormis l’indexation</w:t>
      </w:r>
      <w:r w:rsidRPr="004859A0">
        <w:rPr>
          <w:color w:val="767171" w:themeColor="background2" w:themeShade="80"/>
          <w:lang w:val="fr-FR"/>
        </w:rPr>
        <w:t>. Depuis lors, les fonctionnaires fédéraux ont dû constater que</w:t>
      </w:r>
      <w:r w:rsidR="00202511" w:rsidRPr="004859A0">
        <w:rPr>
          <w:color w:val="767171" w:themeColor="background2" w:themeShade="80"/>
          <w:lang w:val="fr-FR"/>
        </w:rPr>
        <w:t>, par le biais de l'accord interprofessionnel, les augmentations suivantes ont été possibles pour les salaires du secteur privé:</w:t>
      </w:r>
    </w:p>
    <w:tbl>
      <w:tblPr>
        <w:tblW w:w="9111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559"/>
        <w:gridCol w:w="6096"/>
      </w:tblGrid>
      <w:tr w:rsidR="004859A0" w:rsidRPr="004859A0" w14:paraId="1E8A1346" w14:textId="77777777" w:rsidTr="00FC768B">
        <w:trPr>
          <w:tblCellSpacing w:w="15" w:type="dxa"/>
        </w:trPr>
        <w:tc>
          <w:tcPr>
            <w:tcW w:w="141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80222B" w14:textId="77777777" w:rsidR="000D06BC" w:rsidRPr="004859A0" w:rsidRDefault="000D06BC" w:rsidP="000D06BC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b/>
                <w:bCs/>
                <w:color w:val="767171" w:themeColor="background2" w:themeShade="80"/>
                <w:sz w:val="20"/>
                <w:szCs w:val="20"/>
                <w:lang w:eastAsia="nl-BE"/>
              </w:rPr>
              <w:t>2003-2004</w:t>
            </w: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BABC05D" w14:textId="77777777" w:rsidR="000D06BC" w:rsidRPr="004859A0" w:rsidRDefault="000D06BC" w:rsidP="000D06BC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5,40%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6FF631C" w14:textId="77777777" w:rsidR="000D06BC" w:rsidRPr="004859A0" w:rsidRDefault="000D06BC" w:rsidP="000D06BC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 </w:t>
            </w:r>
          </w:p>
        </w:tc>
      </w:tr>
      <w:tr w:rsidR="004859A0" w:rsidRPr="004859A0" w14:paraId="5E6D884B" w14:textId="77777777" w:rsidTr="00FC768B">
        <w:trPr>
          <w:tblCellSpacing w:w="15" w:type="dxa"/>
        </w:trPr>
        <w:tc>
          <w:tcPr>
            <w:tcW w:w="1411" w:type="dxa"/>
            <w:tcBorders>
              <w:top w:val="nil"/>
              <w:left w:val="nil"/>
              <w:bottom w:val="nil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121FB3" w14:textId="77777777" w:rsidR="000D06BC" w:rsidRPr="004859A0" w:rsidRDefault="000D06BC" w:rsidP="000D06BC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b/>
                <w:bCs/>
                <w:color w:val="767171" w:themeColor="background2" w:themeShade="80"/>
                <w:sz w:val="20"/>
                <w:szCs w:val="20"/>
                <w:lang w:eastAsia="nl-BE"/>
              </w:rPr>
              <w:t>2005-2006</w:t>
            </w: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56E380" w14:textId="77777777" w:rsidR="000D06BC" w:rsidRPr="004859A0" w:rsidRDefault="000D06BC" w:rsidP="000D06BC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4,50%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629EA9" w14:textId="77777777" w:rsidR="000D06BC" w:rsidRPr="004859A0" w:rsidRDefault="000D06BC" w:rsidP="000D06BC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 </w:t>
            </w:r>
          </w:p>
        </w:tc>
      </w:tr>
      <w:tr w:rsidR="004859A0" w:rsidRPr="004859A0" w14:paraId="2BCBD2D0" w14:textId="77777777" w:rsidTr="00FC768B">
        <w:trPr>
          <w:tblCellSpacing w:w="15" w:type="dxa"/>
        </w:trPr>
        <w:tc>
          <w:tcPr>
            <w:tcW w:w="141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12895A" w14:textId="77777777" w:rsidR="000D06BC" w:rsidRPr="004859A0" w:rsidRDefault="000D06BC" w:rsidP="000D06BC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b/>
                <w:bCs/>
                <w:color w:val="767171" w:themeColor="background2" w:themeShade="80"/>
                <w:sz w:val="20"/>
                <w:szCs w:val="20"/>
                <w:lang w:eastAsia="nl-BE"/>
              </w:rPr>
              <w:t>2007-2008</w:t>
            </w: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2C0EF3" w14:textId="77777777" w:rsidR="000D06BC" w:rsidRPr="004859A0" w:rsidRDefault="000D06BC" w:rsidP="000D06BC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5,00%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2463E2C" w14:textId="77777777" w:rsidR="000D06BC" w:rsidRPr="004859A0" w:rsidRDefault="000D06BC" w:rsidP="000D06BC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 </w:t>
            </w:r>
          </w:p>
        </w:tc>
      </w:tr>
      <w:tr w:rsidR="004859A0" w:rsidRPr="00F113D8" w14:paraId="0E5375BD" w14:textId="77777777" w:rsidTr="00FC768B">
        <w:trPr>
          <w:tblCellSpacing w:w="15" w:type="dxa"/>
        </w:trPr>
        <w:tc>
          <w:tcPr>
            <w:tcW w:w="1411" w:type="dxa"/>
            <w:tcBorders>
              <w:top w:val="nil"/>
              <w:left w:val="nil"/>
              <w:bottom w:val="nil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56336B6" w14:textId="77777777" w:rsidR="00622FE1" w:rsidRPr="004859A0" w:rsidRDefault="00622FE1" w:rsidP="00622FE1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b/>
                <w:bCs/>
                <w:color w:val="767171" w:themeColor="background2" w:themeShade="80"/>
                <w:sz w:val="20"/>
                <w:szCs w:val="20"/>
                <w:lang w:eastAsia="nl-BE"/>
              </w:rPr>
              <w:t>2009-2010</w:t>
            </w: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36CEB5" w14:textId="77777777" w:rsidR="00622FE1" w:rsidRPr="004859A0" w:rsidRDefault="00622FE1" w:rsidP="00622FE1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250 euro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A4A4CE" w14:textId="6DC4D5FC" w:rsidR="00622FE1" w:rsidRPr="004859A0" w:rsidRDefault="00622FE1" w:rsidP="00840B29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  <w:t>Enveloppe nette dont 125 euros pouvaient être accordés en 2009 ; les augmentations d’index et barémiques</w:t>
            </w:r>
            <w:r w:rsidR="00840B29"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  <w:t xml:space="preserve"> étaient </w:t>
            </w: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  <w:t>toujours garanties.</w:t>
            </w:r>
          </w:p>
        </w:tc>
      </w:tr>
      <w:tr w:rsidR="004859A0" w:rsidRPr="00F113D8" w14:paraId="2DE8D95A" w14:textId="77777777" w:rsidTr="00FC768B">
        <w:trPr>
          <w:tblCellSpacing w:w="15" w:type="dxa"/>
        </w:trPr>
        <w:tc>
          <w:tcPr>
            <w:tcW w:w="141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D893BA" w14:textId="77777777" w:rsidR="00622FE1" w:rsidRPr="004859A0" w:rsidRDefault="00622FE1" w:rsidP="00622FE1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b/>
                <w:bCs/>
                <w:color w:val="767171" w:themeColor="background2" w:themeShade="80"/>
                <w:sz w:val="20"/>
                <w:szCs w:val="20"/>
                <w:lang w:eastAsia="nl-BE"/>
              </w:rPr>
              <w:t>2011-2012</w:t>
            </w: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9A805A9" w14:textId="77777777" w:rsidR="00622FE1" w:rsidRPr="004859A0" w:rsidRDefault="00622FE1" w:rsidP="00622FE1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0,30%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EDFBFB" w14:textId="1543B1A9" w:rsidR="00622FE1" w:rsidRPr="004859A0" w:rsidRDefault="00622FE1" w:rsidP="00622FE1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  <w:t>Dont 0,0 % pouvait être accordé en 2011 ; les augmentations d’index et barémiques étaient toujours garanties.</w:t>
            </w:r>
          </w:p>
        </w:tc>
      </w:tr>
      <w:tr w:rsidR="004859A0" w:rsidRPr="00F113D8" w14:paraId="46308B5C" w14:textId="77777777" w:rsidTr="00FC768B">
        <w:trPr>
          <w:tblCellSpacing w:w="15" w:type="dxa"/>
        </w:trPr>
        <w:tc>
          <w:tcPr>
            <w:tcW w:w="1411" w:type="dxa"/>
            <w:tcBorders>
              <w:top w:val="nil"/>
              <w:left w:val="nil"/>
              <w:bottom w:val="nil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E70D43" w14:textId="77777777" w:rsidR="00622FE1" w:rsidRPr="004859A0" w:rsidRDefault="00622FE1" w:rsidP="00622FE1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b/>
                <w:bCs/>
                <w:color w:val="767171" w:themeColor="background2" w:themeShade="80"/>
                <w:sz w:val="20"/>
                <w:szCs w:val="20"/>
                <w:lang w:eastAsia="nl-BE"/>
              </w:rPr>
              <w:t>2013-2014</w:t>
            </w: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F4ACB1" w14:textId="77777777" w:rsidR="00622FE1" w:rsidRPr="004859A0" w:rsidRDefault="00622FE1" w:rsidP="00622FE1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0,00%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91C49C" w14:textId="5739C93E" w:rsidR="00622FE1" w:rsidRPr="004859A0" w:rsidRDefault="00622FE1" w:rsidP="00622FE1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  <w:t>Les augmentations d'indice et de salaire étaient toujours garanties.</w:t>
            </w:r>
          </w:p>
        </w:tc>
      </w:tr>
      <w:tr w:rsidR="004859A0" w:rsidRPr="00F113D8" w14:paraId="3C1921B6" w14:textId="77777777" w:rsidTr="00FC768B">
        <w:trPr>
          <w:tblCellSpacing w:w="15" w:type="dxa"/>
        </w:trPr>
        <w:tc>
          <w:tcPr>
            <w:tcW w:w="141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5F1778" w14:textId="77777777" w:rsidR="00622FE1" w:rsidRPr="004859A0" w:rsidRDefault="00622FE1" w:rsidP="00622FE1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b/>
                <w:bCs/>
                <w:color w:val="767171" w:themeColor="background2" w:themeShade="80"/>
                <w:sz w:val="20"/>
                <w:szCs w:val="20"/>
                <w:lang w:eastAsia="nl-BE"/>
              </w:rPr>
              <w:t>2015-2016</w:t>
            </w: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1448A3" w14:textId="77777777" w:rsidR="00622FE1" w:rsidRPr="004859A0" w:rsidRDefault="00622FE1" w:rsidP="00622FE1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0,5% + 0,3%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335A39" w14:textId="4776225A" w:rsidR="00622FE1" w:rsidRPr="004859A0" w:rsidRDefault="00622FE1" w:rsidP="006378F6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  <w:t xml:space="preserve">Dont 0,0% peut être attribué en 2015 ; 0,5% de la masse salariale brute </w:t>
            </w:r>
            <w:r w:rsidR="002E7899"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  <w:t>toutes charges incluses</w:t>
            </w: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  <w:t xml:space="preserve"> ; 0,3% de la masse salariale en </w:t>
            </w:r>
            <w:r w:rsidR="006378F6"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  <w:t>net</w:t>
            </w: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  <w:t xml:space="preserve"> sans frais supplémentaires en 2016 ; les augmentations d’index et barémiques </w:t>
            </w:r>
            <w:r w:rsidR="006378F6"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  <w:t>étaient</w:t>
            </w: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  <w:t xml:space="preserve"> toujours garanties.</w:t>
            </w:r>
          </w:p>
        </w:tc>
      </w:tr>
      <w:tr w:rsidR="004859A0" w:rsidRPr="00F113D8" w14:paraId="5BFF64F9" w14:textId="77777777" w:rsidTr="00FC768B">
        <w:trPr>
          <w:tblCellSpacing w:w="15" w:type="dxa"/>
        </w:trPr>
        <w:tc>
          <w:tcPr>
            <w:tcW w:w="1411" w:type="dxa"/>
            <w:tcBorders>
              <w:top w:val="nil"/>
              <w:left w:val="nil"/>
              <w:bottom w:val="nil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2F1743" w14:textId="77777777" w:rsidR="00622FE1" w:rsidRPr="004859A0" w:rsidRDefault="00622FE1" w:rsidP="00622FE1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b/>
                <w:bCs/>
                <w:color w:val="767171" w:themeColor="background2" w:themeShade="80"/>
                <w:sz w:val="20"/>
                <w:szCs w:val="20"/>
                <w:lang w:eastAsia="nl-BE"/>
              </w:rPr>
              <w:t>2017-2018</w:t>
            </w: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89C3E81" w14:textId="77777777" w:rsidR="00622FE1" w:rsidRPr="004859A0" w:rsidRDefault="00622FE1" w:rsidP="00622FE1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1,1%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16BA8C" w14:textId="166D217B" w:rsidR="00622FE1" w:rsidRPr="004859A0" w:rsidRDefault="00622FE1" w:rsidP="00622FE1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  <w:t>Les augmentations d’index et barémiques étaient toujours garanties.</w:t>
            </w:r>
          </w:p>
        </w:tc>
      </w:tr>
      <w:tr w:rsidR="004859A0" w:rsidRPr="00F113D8" w14:paraId="5D9B9216" w14:textId="77777777" w:rsidTr="00FC768B">
        <w:trPr>
          <w:tblCellSpacing w:w="15" w:type="dxa"/>
        </w:trPr>
        <w:tc>
          <w:tcPr>
            <w:tcW w:w="141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D195AC" w14:textId="77777777" w:rsidR="00622FE1" w:rsidRPr="004859A0" w:rsidRDefault="00622FE1" w:rsidP="00622FE1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b/>
                <w:bCs/>
                <w:color w:val="767171" w:themeColor="background2" w:themeShade="80"/>
                <w:sz w:val="20"/>
                <w:szCs w:val="20"/>
                <w:lang w:eastAsia="nl-BE"/>
              </w:rPr>
              <w:t>2019-2020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667D2EE" w14:textId="77777777" w:rsidR="00622FE1" w:rsidRPr="004859A0" w:rsidRDefault="00622FE1" w:rsidP="00622FE1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eastAsia="nl-BE"/>
              </w:rPr>
              <w:t>1,1%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813E095" w14:textId="60F5D401" w:rsidR="00622FE1" w:rsidRPr="004859A0" w:rsidRDefault="00622FE1" w:rsidP="00622FE1">
            <w:pPr>
              <w:spacing w:after="0" w:line="240" w:lineRule="auto"/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</w:pPr>
            <w:r w:rsidRPr="004859A0">
              <w:rPr>
                <w:rFonts w:eastAsia="Times New Roman" w:cstheme="minorHAnsi"/>
                <w:color w:val="767171" w:themeColor="background2" w:themeShade="80"/>
                <w:sz w:val="20"/>
                <w:szCs w:val="20"/>
                <w:lang w:val="fr-FR" w:eastAsia="nl-BE"/>
              </w:rPr>
              <w:t>Les augmentations d’index et barémiques étaient toujours garanties.</w:t>
            </w:r>
          </w:p>
        </w:tc>
      </w:tr>
    </w:tbl>
    <w:p w14:paraId="6A6537DF" w14:textId="38F0F3FB" w:rsidR="000D06BC" w:rsidRPr="004859A0" w:rsidRDefault="000D06BC" w:rsidP="000D06BC">
      <w:pPr>
        <w:rPr>
          <w:color w:val="767171" w:themeColor="background2" w:themeShade="80"/>
          <w:lang w:val="fr-FR"/>
        </w:rPr>
      </w:pPr>
    </w:p>
    <w:p w14:paraId="30524635" w14:textId="7C848B84" w:rsidR="0043522D" w:rsidRPr="004859A0" w:rsidRDefault="00202511" w:rsidP="0043522D">
      <w:pPr>
        <w:rPr>
          <w:color w:val="767171" w:themeColor="background2" w:themeShade="80"/>
          <w:lang w:val="fr-FR"/>
        </w:rPr>
      </w:pPr>
      <w:r w:rsidRPr="004859A0">
        <w:rPr>
          <w:color w:val="767171" w:themeColor="background2" w:themeShade="80"/>
          <w:lang w:val="fr-FR"/>
        </w:rPr>
        <w:t xml:space="preserve">Dans d'autres secteurs fédéraux, les discussions sur la revalorisation des barèmes ont commencé et un accord provisoire a même été conclu. </w:t>
      </w:r>
      <w:r w:rsidR="0043522D" w:rsidRPr="004859A0">
        <w:rPr>
          <w:color w:val="767171" w:themeColor="background2" w:themeShade="80"/>
          <w:lang w:val="fr-FR"/>
        </w:rPr>
        <w:t xml:space="preserve">Cependant, en tant que fonctionnaire </w:t>
      </w:r>
      <w:proofErr w:type="spellStart"/>
      <w:r w:rsidR="0043522D" w:rsidRPr="004859A0">
        <w:rPr>
          <w:color w:val="767171" w:themeColor="background2" w:themeShade="80"/>
          <w:lang w:val="fr-FR"/>
        </w:rPr>
        <w:t>fédéral</w:t>
      </w:r>
      <w:r w:rsidR="008273C4" w:rsidRPr="004859A0">
        <w:rPr>
          <w:color w:val="767171" w:themeColor="background2" w:themeShade="80"/>
          <w:lang w:val="fr-FR"/>
        </w:rPr>
        <w:t>-e</w:t>
      </w:r>
      <w:proofErr w:type="spellEnd"/>
      <w:r w:rsidR="0043522D" w:rsidRPr="004859A0">
        <w:rPr>
          <w:color w:val="767171" w:themeColor="background2" w:themeShade="80"/>
          <w:lang w:val="fr-FR"/>
        </w:rPr>
        <w:t xml:space="preserve">, je </w:t>
      </w:r>
      <w:r w:rsidR="002F6F58" w:rsidRPr="004859A0">
        <w:rPr>
          <w:color w:val="767171" w:themeColor="background2" w:themeShade="80"/>
          <w:lang w:val="fr-FR"/>
        </w:rPr>
        <w:t xml:space="preserve">suis véritablement </w:t>
      </w:r>
      <w:proofErr w:type="spellStart"/>
      <w:r w:rsidR="002F6F58" w:rsidRPr="004859A0">
        <w:rPr>
          <w:color w:val="767171" w:themeColor="background2" w:themeShade="80"/>
          <w:lang w:val="fr-FR"/>
        </w:rPr>
        <w:t>resté</w:t>
      </w:r>
      <w:r w:rsidR="008273C4" w:rsidRPr="004859A0">
        <w:rPr>
          <w:color w:val="767171" w:themeColor="background2" w:themeShade="80"/>
          <w:lang w:val="fr-FR"/>
        </w:rPr>
        <w:t>-e</w:t>
      </w:r>
      <w:proofErr w:type="spellEnd"/>
      <w:r w:rsidR="002F6F58" w:rsidRPr="004859A0">
        <w:rPr>
          <w:color w:val="767171" w:themeColor="background2" w:themeShade="80"/>
          <w:lang w:val="fr-FR"/>
        </w:rPr>
        <w:t xml:space="preserve"> sur ma faim.</w:t>
      </w:r>
    </w:p>
    <w:p w14:paraId="3987116B" w14:textId="1511A122" w:rsidR="00202511" w:rsidRPr="004859A0" w:rsidRDefault="0043522D" w:rsidP="00202511">
      <w:pPr>
        <w:rPr>
          <w:color w:val="767171" w:themeColor="background2" w:themeShade="80"/>
          <w:lang w:val="fr-FR"/>
        </w:rPr>
      </w:pPr>
      <w:r w:rsidRPr="004859A0">
        <w:rPr>
          <w:color w:val="767171" w:themeColor="background2" w:themeShade="80"/>
          <w:lang w:val="fr-FR"/>
        </w:rPr>
        <w:t xml:space="preserve">Je vous demande donc explicitement d'en tenir compte lors </w:t>
      </w:r>
      <w:r w:rsidR="00195C7C" w:rsidRPr="004859A0">
        <w:rPr>
          <w:color w:val="767171" w:themeColor="background2" w:themeShade="80"/>
          <w:lang w:val="fr-FR"/>
        </w:rPr>
        <w:t xml:space="preserve">du prochain </w:t>
      </w:r>
      <w:r w:rsidR="00202511" w:rsidRPr="004859A0">
        <w:rPr>
          <w:color w:val="767171" w:themeColor="background2" w:themeShade="80"/>
          <w:lang w:val="fr-FR"/>
        </w:rPr>
        <w:t xml:space="preserve">contrôle budgétaire en allouant une marge de manœuvre budgétaire suffisante pour permettre une revalorisation significative du pouvoir d'achat des fonctionnaires fédéraux </w:t>
      </w:r>
      <w:r w:rsidR="008273C4" w:rsidRPr="004859A0">
        <w:rPr>
          <w:color w:val="767171" w:themeColor="background2" w:themeShade="80"/>
          <w:lang w:val="fr-FR"/>
        </w:rPr>
        <w:t xml:space="preserve">aux </w:t>
      </w:r>
      <w:r w:rsidR="00202511" w:rsidRPr="004859A0">
        <w:rPr>
          <w:color w:val="767171" w:themeColor="background2" w:themeShade="80"/>
          <w:lang w:val="fr-FR"/>
        </w:rPr>
        <w:t xml:space="preserve">travers des discussions </w:t>
      </w:r>
      <w:r w:rsidR="003235E2" w:rsidRPr="004859A0">
        <w:rPr>
          <w:color w:val="767171" w:themeColor="background2" w:themeShade="80"/>
          <w:lang w:val="fr-FR"/>
        </w:rPr>
        <w:t>sur</w:t>
      </w:r>
      <w:r w:rsidR="00202511" w:rsidRPr="004859A0">
        <w:rPr>
          <w:color w:val="767171" w:themeColor="background2" w:themeShade="80"/>
          <w:lang w:val="fr-FR"/>
        </w:rPr>
        <w:t xml:space="preserve"> un nouvel accord sectoriel.</w:t>
      </w:r>
    </w:p>
    <w:p w14:paraId="675C0A5A" w14:textId="0999EFD9" w:rsidR="00202511" w:rsidRPr="004859A0" w:rsidRDefault="0043522D" w:rsidP="00202511">
      <w:pPr>
        <w:rPr>
          <w:color w:val="767171" w:themeColor="background2" w:themeShade="80"/>
          <w:lang w:val="fr-FR"/>
        </w:rPr>
      </w:pPr>
      <w:r w:rsidRPr="004859A0">
        <w:rPr>
          <w:color w:val="767171" w:themeColor="background2" w:themeShade="80"/>
          <w:lang w:val="fr-FR"/>
        </w:rPr>
        <w:t>Lors</w:t>
      </w:r>
      <w:r w:rsidR="00DA4078" w:rsidRPr="004859A0">
        <w:rPr>
          <w:color w:val="767171" w:themeColor="background2" w:themeShade="80"/>
          <w:lang w:val="fr-FR"/>
        </w:rPr>
        <w:t xml:space="preserve"> du</w:t>
      </w:r>
      <w:r w:rsidRPr="004859A0">
        <w:rPr>
          <w:color w:val="767171" w:themeColor="background2" w:themeShade="80"/>
          <w:lang w:val="fr-FR"/>
        </w:rPr>
        <w:t xml:space="preserve"> </w:t>
      </w:r>
      <w:r w:rsidR="00202511" w:rsidRPr="004859A0">
        <w:rPr>
          <w:color w:val="767171" w:themeColor="background2" w:themeShade="80"/>
          <w:lang w:val="fr-FR"/>
        </w:rPr>
        <w:t>contrôle budgétaire</w:t>
      </w:r>
      <w:r w:rsidRPr="004859A0">
        <w:rPr>
          <w:color w:val="767171" w:themeColor="background2" w:themeShade="80"/>
          <w:lang w:val="fr-FR"/>
        </w:rPr>
        <w:t xml:space="preserve">, je voudrais également vous demander de prévoir </w:t>
      </w:r>
      <w:r w:rsidR="00202511" w:rsidRPr="004859A0">
        <w:rPr>
          <w:color w:val="767171" w:themeColor="background2" w:themeShade="80"/>
          <w:lang w:val="fr-FR"/>
        </w:rPr>
        <w:t>de la marge</w:t>
      </w:r>
      <w:r w:rsidRPr="004859A0">
        <w:rPr>
          <w:color w:val="767171" w:themeColor="background2" w:themeShade="80"/>
          <w:lang w:val="fr-FR"/>
        </w:rPr>
        <w:t xml:space="preserve"> pour apprécier les efforts des fonctionnaires fédéraux pendant la crise du COVID. </w:t>
      </w:r>
      <w:r w:rsidR="00202511" w:rsidRPr="004859A0">
        <w:rPr>
          <w:color w:val="767171" w:themeColor="background2" w:themeShade="80"/>
          <w:lang w:val="fr-FR"/>
        </w:rPr>
        <w:t xml:space="preserve">Pendant cette crise, la fonction publique fédérale s'est avérée être un secteur essentiel, mais un secteur essentiel </w:t>
      </w:r>
      <w:r w:rsidR="00982C86" w:rsidRPr="004859A0">
        <w:rPr>
          <w:color w:val="767171" w:themeColor="background2" w:themeShade="80"/>
          <w:lang w:val="fr-FR"/>
        </w:rPr>
        <w:t>dans lequel</w:t>
      </w:r>
      <w:r w:rsidR="00202511" w:rsidRPr="004859A0">
        <w:rPr>
          <w:color w:val="767171" w:themeColor="background2" w:themeShade="80"/>
          <w:lang w:val="fr-FR"/>
        </w:rPr>
        <w:t xml:space="preserve"> le personnel n'a pas reçu la prime dite corona, </w:t>
      </w:r>
      <w:r w:rsidR="00982C86" w:rsidRPr="004859A0">
        <w:rPr>
          <w:color w:val="767171" w:themeColor="background2" w:themeShade="80"/>
          <w:lang w:val="fr-FR"/>
        </w:rPr>
        <w:t>dans lequel</w:t>
      </w:r>
      <w:r w:rsidR="00202511" w:rsidRPr="004859A0">
        <w:rPr>
          <w:color w:val="767171" w:themeColor="background2" w:themeShade="80"/>
          <w:lang w:val="fr-FR"/>
        </w:rPr>
        <w:t xml:space="preserve"> il n'a pas reçu de bons de </w:t>
      </w:r>
      <w:r w:rsidR="00202511" w:rsidRPr="004859A0">
        <w:rPr>
          <w:color w:val="767171" w:themeColor="background2" w:themeShade="80"/>
          <w:lang w:val="fr-FR"/>
        </w:rPr>
        <w:lastRenderedPageBreak/>
        <w:t>consommation corona,</w:t>
      </w:r>
      <w:r w:rsidR="00B56A9F" w:rsidRPr="004859A0">
        <w:rPr>
          <w:color w:val="767171" w:themeColor="background2" w:themeShade="80"/>
          <w:lang w:val="fr-FR"/>
        </w:rPr>
        <w:t xml:space="preserve"> dans lequel le</w:t>
      </w:r>
      <w:r w:rsidR="00202511" w:rsidRPr="004859A0">
        <w:rPr>
          <w:color w:val="767171" w:themeColor="background2" w:themeShade="80"/>
          <w:lang w:val="fr-FR"/>
        </w:rPr>
        <w:t xml:space="preserve"> personnel de l'hôpital militaire n'a pas reçu de prime d'encouragement, etc.</w:t>
      </w:r>
    </w:p>
    <w:p w14:paraId="7112C081" w14:textId="53D6ACA6" w:rsidR="0043522D" w:rsidRPr="004859A0" w:rsidRDefault="00202511" w:rsidP="0043522D">
      <w:pPr>
        <w:rPr>
          <w:color w:val="767171" w:themeColor="background2" w:themeShade="80"/>
          <w:lang w:val="fr-FR"/>
        </w:rPr>
      </w:pPr>
      <w:r w:rsidRPr="004859A0">
        <w:rPr>
          <w:color w:val="767171" w:themeColor="background2" w:themeShade="80"/>
          <w:lang w:val="fr-FR"/>
        </w:rPr>
        <w:t xml:space="preserve">Ici aussi, je vous demande de joindre le geste à la parole lors du contrôle budgétaire et d'allouer un budget qui pourra être </w:t>
      </w:r>
      <w:r w:rsidR="003235E2" w:rsidRPr="004859A0">
        <w:rPr>
          <w:color w:val="767171" w:themeColor="background2" w:themeShade="80"/>
          <w:lang w:val="fr-FR"/>
        </w:rPr>
        <w:t xml:space="preserve">exécuté </w:t>
      </w:r>
      <w:r w:rsidRPr="004859A0">
        <w:rPr>
          <w:color w:val="767171" w:themeColor="background2" w:themeShade="80"/>
          <w:lang w:val="fr-FR"/>
        </w:rPr>
        <w:t xml:space="preserve">par la concertation sociale dans le cadre </w:t>
      </w:r>
      <w:r w:rsidR="00557E19" w:rsidRPr="004859A0">
        <w:rPr>
          <w:color w:val="767171" w:themeColor="background2" w:themeShade="80"/>
          <w:lang w:val="fr-FR"/>
        </w:rPr>
        <w:t xml:space="preserve">d’un </w:t>
      </w:r>
      <w:r w:rsidRPr="004859A0">
        <w:rPr>
          <w:color w:val="767171" w:themeColor="background2" w:themeShade="80"/>
          <w:lang w:val="fr-FR"/>
        </w:rPr>
        <w:t>accord sectoriel.</w:t>
      </w:r>
    </w:p>
    <w:p w14:paraId="20978DED" w14:textId="15009EBE" w:rsidR="0043522D" w:rsidRPr="004859A0" w:rsidRDefault="0043522D" w:rsidP="0043522D">
      <w:pPr>
        <w:rPr>
          <w:color w:val="767171" w:themeColor="background2" w:themeShade="80"/>
          <w:lang w:val="fr-FR"/>
        </w:rPr>
      </w:pPr>
      <w:r w:rsidRPr="004859A0">
        <w:rPr>
          <w:color w:val="767171" w:themeColor="background2" w:themeShade="80"/>
          <w:lang w:val="fr-FR"/>
        </w:rPr>
        <w:t>Enfin, je vous demande</w:t>
      </w:r>
      <w:r w:rsidR="00C71F19" w:rsidRPr="004859A0">
        <w:rPr>
          <w:color w:val="767171" w:themeColor="background2" w:themeShade="80"/>
          <w:lang w:val="fr-FR"/>
        </w:rPr>
        <w:t xml:space="preserve"> de mettre un terme à</w:t>
      </w:r>
      <w:r w:rsidR="00202511" w:rsidRPr="004859A0">
        <w:rPr>
          <w:color w:val="767171" w:themeColor="background2" w:themeShade="80"/>
          <w:lang w:val="fr-FR"/>
        </w:rPr>
        <w:t xml:space="preserve"> la décision de procéder à des économies linéaires aveugles sur les enveloppes de personnel. Les économies réalisées depuis 15 ans ont maintenant un impact sur le service rendu aux citoyens.</w:t>
      </w:r>
      <w:r w:rsidRPr="004859A0">
        <w:rPr>
          <w:color w:val="767171" w:themeColor="background2" w:themeShade="80"/>
          <w:lang w:val="fr-FR"/>
        </w:rPr>
        <w:t xml:space="preserve"> Les effectifs de mon service ont été considérablement réduits, ce qui rend difficile l'exécution des tâches essentielles.</w:t>
      </w:r>
    </w:p>
    <w:p w14:paraId="712C88D9" w14:textId="6DAA3D09" w:rsidR="0043522D" w:rsidRDefault="0043522D" w:rsidP="0043522D">
      <w:pPr>
        <w:rPr>
          <w:color w:val="767171" w:themeColor="background2" w:themeShade="80"/>
          <w:lang w:val="fr-FR"/>
        </w:rPr>
      </w:pPr>
      <w:r w:rsidRPr="004859A0">
        <w:rPr>
          <w:color w:val="767171" w:themeColor="background2" w:themeShade="80"/>
          <w:lang w:val="fr-FR"/>
        </w:rPr>
        <w:t xml:space="preserve">Je tiens à vous remercier, Monsieur le Premier </w:t>
      </w:r>
      <w:r w:rsidR="00202511" w:rsidRPr="004859A0">
        <w:rPr>
          <w:color w:val="767171" w:themeColor="background2" w:themeShade="80"/>
          <w:lang w:val="fr-FR"/>
        </w:rPr>
        <w:t>M</w:t>
      </w:r>
      <w:r w:rsidRPr="004859A0">
        <w:rPr>
          <w:color w:val="767171" w:themeColor="background2" w:themeShade="80"/>
          <w:lang w:val="fr-FR"/>
        </w:rPr>
        <w:t xml:space="preserve">inistre, Madame la </w:t>
      </w:r>
      <w:r w:rsidR="009068D4" w:rsidRPr="004859A0">
        <w:rPr>
          <w:color w:val="767171" w:themeColor="background2" w:themeShade="80"/>
          <w:lang w:val="fr-FR"/>
        </w:rPr>
        <w:t>V</w:t>
      </w:r>
      <w:r w:rsidRPr="004859A0">
        <w:rPr>
          <w:color w:val="767171" w:themeColor="background2" w:themeShade="80"/>
          <w:lang w:val="fr-FR"/>
        </w:rPr>
        <w:t xml:space="preserve">ice-Première </w:t>
      </w:r>
      <w:r w:rsidR="00202511" w:rsidRPr="004859A0">
        <w:rPr>
          <w:color w:val="767171" w:themeColor="background2" w:themeShade="80"/>
          <w:lang w:val="fr-FR"/>
        </w:rPr>
        <w:t>M</w:t>
      </w:r>
      <w:r w:rsidRPr="004859A0">
        <w:rPr>
          <w:color w:val="767171" w:themeColor="background2" w:themeShade="80"/>
          <w:lang w:val="fr-FR"/>
        </w:rPr>
        <w:t>inistre,</w:t>
      </w:r>
      <w:r w:rsidR="009068D4" w:rsidRPr="004859A0">
        <w:rPr>
          <w:color w:val="767171" w:themeColor="background2" w:themeShade="80"/>
          <w:lang w:val="fr-FR"/>
        </w:rPr>
        <w:t xml:space="preserve">  Monsieur le Vice-Premier Ministre,</w:t>
      </w:r>
      <w:r w:rsidRPr="004859A0">
        <w:rPr>
          <w:color w:val="767171" w:themeColor="background2" w:themeShade="80"/>
          <w:lang w:val="fr-FR"/>
        </w:rPr>
        <w:t xml:space="preserve"> </w:t>
      </w:r>
      <w:r w:rsidR="008273C4" w:rsidRPr="004859A0">
        <w:rPr>
          <w:color w:val="767171" w:themeColor="background2" w:themeShade="80"/>
          <w:lang w:val="fr-FR"/>
        </w:rPr>
        <w:t>de prendre</w:t>
      </w:r>
      <w:r w:rsidRPr="004859A0">
        <w:rPr>
          <w:color w:val="767171" w:themeColor="background2" w:themeShade="80"/>
          <w:lang w:val="fr-FR"/>
        </w:rPr>
        <w:t xml:space="preserve"> en </w:t>
      </w:r>
      <w:r w:rsidR="00557E19" w:rsidRPr="004859A0">
        <w:rPr>
          <w:color w:val="767171" w:themeColor="background2" w:themeShade="80"/>
          <w:lang w:val="fr-FR"/>
        </w:rPr>
        <w:t>considération</w:t>
      </w:r>
      <w:r w:rsidRPr="004859A0">
        <w:rPr>
          <w:color w:val="767171" w:themeColor="background2" w:themeShade="80"/>
          <w:lang w:val="fr-FR"/>
        </w:rPr>
        <w:t xml:space="preserve"> mes préoccupations lors des débats sur le contrôle budgétaire.</w:t>
      </w:r>
    </w:p>
    <w:p w14:paraId="36F46F37" w14:textId="5A5B6F04" w:rsidR="004859A0" w:rsidRDefault="004859A0" w:rsidP="0043522D">
      <w:pPr>
        <w:rPr>
          <w:color w:val="767171" w:themeColor="background2" w:themeShade="80"/>
          <w:lang w:val="fr-FR"/>
        </w:rPr>
      </w:pPr>
    </w:p>
    <w:p w14:paraId="00BEC4B9" w14:textId="23819A54" w:rsidR="004859A0" w:rsidRPr="004859A0" w:rsidRDefault="004859A0" w:rsidP="0043522D">
      <w:pPr>
        <w:rPr>
          <w:color w:val="767171" w:themeColor="background2" w:themeShade="80"/>
          <w:lang w:val="fr-FR"/>
        </w:rPr>
      </w:pPr>
      <w:r w:rsidRPr="004859A0">
        <w:rPr>
          <w:color w:val="767171" w:themeColor="background2" w:themeShade="80"/>
          <w:highlight w:val="yellow"/>
          <w:lang w:val="fr-FR"/>
        </w:rPr>
        <w:t>Nom et prénom</w:t>
      </w:r>
    </w:p>
    <w:p w14:paraId="548ADF2C" w14:textId="77777777" w:rsidR="0043522D" w:rsidRPr="004859A0" w:rsidRDefault="0043522D" w:rsidP="0043522D">
      <w:pPr>
        <w:rPr>
          <w:color w:val="767171" w:themeColor="background2" w:themeShade="80"/>
          <w:lang w:val="fr-FR"/>
        </w:rPr>
      </w:pPr>
    </w:p>
    <w:p w14:paraId="27553DEB" w14:textId="77777777" w:rsidR="000D06BC" w:rsidRPr="004859A0" w:rsidRDefault="000D06BC">
      <w:pPr>
        <w:rPr>
          <w:color w:val="767171" w:themeColor="background2" w:themeShade="80"/>
          <w:lang w:val="fr-FR"/>
        </w:rPr>
      </w:pPr>
    </w:p>
    <w:sectPr w:rsidR="000D06BC" w:rsidRPr="00485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8521E" w14:textId="77777777" w:rsidR="007C635C" w:rsidRDefault="007C635C" w:rsidP="00110601">
      <w:pPr>
        <w:spacing w:after="0" w:line="240" w:lineRule="auto"/>
      </w:pPr>
      <w:r>
        <w:separator/>
      </w:r>
    </w:p>
  </w:endnote>
  <w:endnote w:type="continuationSeparator" w:id="0">
    <w:p w14:paraId="5E68B43E" w14:textId="77777777" w:rsidR="007C635C" w:rsidRDefault="007C635C" w:rsidP="0011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FB6B0" w14:textId="77777777" w:rsidR="007C635C" w:rsidRDefault="007C635C" w:rsidP="00110601">
      <w:pPr>
        <w:spacing w:after="0" w:line="240" w:lineRule="auto"/>
      </w:pPr>
      <w:r>
        <w:separator/>
      </w:r>
    </w:p>
  </w:footnote>
  <w:footnote w:type="continuationSeparator" w:id="0">
    <w:p w14:paraId="372522EB" w14:textId="77777777" w:rsidR="007C635C" w:rsidRDefault="007C635C" w:rsidP="00110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BC"/>
    <w:rsid w:val="000D06BC"/>
    <w:rsid w:val="00110601"/>
    <w:rsid w:val="001875B6"/>
    <w:rsid w:val="00195C7C"/>
    <w:rsid w:val="001A070D"/>
    <w:rsid w:val="00202511"/>
    <w:rsid w:val="00267076"/>
    <w:rsid w:val="002E7899"/>
    <w:rsid w:val="002F6F58"/>
    <w:rsid w:val="003235E2"/>
    <w:rsid w:val="003F785D"/>
    <w:rsid w:val="0043522D"/>
    <w:rsid w:val="004859A0"/>
    <w:rsid w:val="004C6D92"/>
    <w:rsid w:val="00557E19"/>
    <w:rsid w:val="00587A1A"/>
    <w:rsid w:val="00590CCB"/>
    <w:rsid w:val="00622FE1"/>
    <w:rsid w:val="006378F6"/>
    <w:rsid w:val="007B05D7"/>
    <w:rsid w:val="007C635C"/>
    <w:rsid w:val="007D22D3"/>
    <w:rsid w:val="008273C4"/>
    <w:rsid w:val="00840B29"/>
    <w:rsid w:val="008D394B"/>
    <w:rsid w:val="009068D4"/>
    <w:rsid w:val="009453E1"/>
    <w:rsid w:val="00982C86"/>
    <w:rsid w:val="00A83A7A"/>
    <w:rsid w:val="00B56A9F"/>
    <w:rsid w:val="00C71F19"/>
    <w:rsid w:val="00CF23E8"/>
    <w:rsid w:val="00D77B06"/>
    <w:rsid w:val="00DA4078"/>
    <w:rsid w:val="00DD3623"/>
    <w:rsid w:val="00E52062"/>
    <w:rsid w:val="00E91B53"/>
    <w:rsid w:val="00F113D8"/>
    <w:rsid w:val="00F36C1B"/>
    <w:rsid w:val="00FA3BD6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8638DC"/>
  <w15:chartTrackingRefBased/>
  <w15:docId w15:val="{36197F9A-7283-4A32-AB5A-0C17CEC5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8FC303C51AF4DB89CFC640C682502" ma:contentTypeVersion="9" ma:contentTypeDescription="Crée un document." ma:contentTypeScope="" ma:versionID="d8276241f47cff526db697dfb0f4da6b">
  <xsd:schema xmlns:xsd="http://www.w3.org/2001/XMLSchema" xmlns:xs="http://www.w3.org/2001/XMLSchema" xmlns:p="http://schemas.microsoft.com/office/2006/metadata/properties" xmlns:ns2="1e832426-6819-49af-b751-404cdfce1567" xmlns:ns3="08cfd3ce-0a56-4057-bb44-866264899c02" targetNamespace="http://schemas.microsoft.com/office/2006/metadata/properties" ma:root="true" ma:fieldsID="978d25c21675105631846a699bfa737b" ns2:_="" ns3:_="">
    <xsd:import namespace="1e832426-6819-49af-b751-404cdfce1567"/>
    <xsd:import namespace="08cfd3ce-0a56-4057-bb44-866264899c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fd3ce-0a56-4057-bb44-866264899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832426-6819-49af-b751-404cdfce1567">CSCSERVPUBLI-343202137-2912</_dlc_DocId>
    <_dlc_DocIdUrl xmlns="1e832426-6819-49af-b751-404cdfce1567">
      <Url>https://acvcsc.sharepoint.com/sites/CSCServicesPublics/Fedcomreg/_layouts/15/DocIdRedir.aspx?ID=CSCSERVPUBLI-343202137-2912</Url>
      <Description>CSCSERVPUBLI-343202137-2912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8B010-75DA-4D5A-8EAD-582FC67BC9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0534CE-26A4-4888-B2D5-8CDF6AE62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32426-6819-49af-b751-404cdfce1567"/>
    <ds:schemaRef ds:uri="08cfd3ce-0a56-4057-bb44-866264899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5AC70-8AEF-4DD8-AE3B-A19FC8D97170}">
  <ds:schemaRefs>
    <ds:schemaRef ds:uri="http://schemas.microsoft.com/office/2006/metadata/properties"/>
    <ds:schemaRef ds:uri="http://schemas.microsoft.com/office/infopath/2007/PartnerControls"/>
    <ds:schemaRef ds:uri="1e832426-6819-49af-b751-404cdfce1567"/>
  </ds:schemaRefs>
</ds:datastoreItem>
</file>

<file path=customXml/itemProps4.xml><?xml version="1.0" encoding="utf-8"?>
<ds:datastoreItem xmlns:ds="http://schemas.openxmlformats.org/officeDocument/2006/customXml" ds:itemID="{83C5CE7D-EFD3-4155-8EB0-08F64FB4A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Lippens</dc:creator>
  <cp:keywords/>
  <dc:description/>
  <cp:lastModifiedBy>Loic Dechène</cp:lastModifiedBy>
  <cp:revision>6</cp:revision>
  <dcterms:created xsi:type="dcterms:W3CDTF">2022-02-01T12:47:00Z</dcterms:created>
  <dcterms:modified xsi:type="dcterms:W3CDTF">2022-02-03T10:48:00Z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0x01010099F8FC303C51AF4DB89CFC640C682502</vt:lpwstr>
  </property>
  <property fmtid="{D5CDD505-2E9C-101B-9397-08002B2CF9AE}" pid="3" name="_dlc_DocIdItemGuid">
    <vt:lpwstr>7e50d9b5-fb18-4162-a8f8-f0c081070ce4</vt:lpwstr>
  </property>
</Properties>
</file>