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10B8" w14:textId="34FBCB6C" w:rsidR="00CA6CAF" w:rsidRPr="008E4BFA" w:rsidRDefault="00945436" w:rsidP="00517390">
      <w:pPr>
        <w:pStyle w:val="Titre1"/>
        <w:jc w:val="center"/>
        <w:rPr>
          <w:lang w:val="fr-BE"/>
        </w:rPr>
      </w:pPr>
      <w:r w:rsidRPr="008E4BFA">
        <w:rPr>
          <w:lang w:val="fr-BE"/>
        </w:rPr>
        <w:t>Procédure</w:t>
      </w:r>
      <w:r w:rsidR="00CA6CAF" w:rsidRPr="008E4BFA">
        <w:rPr>
          <w:lang w:val="fr-BE"/>
        </w:rPr>
        <w:t xml:space="preserve"> de contact entre l’entreprise et </w:t>
      </w:r>
      <w:r w:rsidR="004C286B" w:rsidRPr="008E4BFA">
        <w:rPr>
          <w:lang w:val="fr-BE"/>
        </w:rPr>
        <w:t>les</w:t>
      </w:r>
      <w:r w:rsidR="00CA6CAF" w:rsidRPr="008E4BFA">
        <w:rPr>
          <w:lang w:val="fr-BE"/>
        </w:rPr>
        <w:t xml:space="preserve"> travailleur</w:t>
      </w:r>
      <w:r w:rsidR="004C286B" w:rsidRPr="008E4BFA">
        <w:rPr>
          <w:lang w:val="fr-BE"/>
        </w:rPr>
        <w:t>s</w:t>
      </w:r>
      <w:r w:rsidR="00CA6CAF" w:rsidRPr="008E4BFA">
        <w:rPr>
          <w:lang w:val="fr-BE"/>
        </w:rPr>
        <w:t xml:space="preserve"> en incapacité de travail de longue durée.</w:t>
      </w:r>
    </w:p>
    <w:p w14:paraId="672B19CE" w14:textId="77777777" w:rsidR="004C286B" w:rsidRDefault="004C286B" w:rsidP="00B12AD0">
      <w:pPr>
        <w:jc w:val="both"/>
        <w:rPr>
          <w:rFonts w:ascii="Open Sans" w:hAnsi="Open Sans" w:cs="Open Sans"/>
          <w:lang w:val="fr-BE"/>
        </w:rPr>
      </w:pPr>
    </w:p>
    <w:p w14:paraId="3D0C67E7" w14:textId="03B7238E" w:rsidR="00311417" w:rsidRPr="00311417" w:rsidRDefault="00311417" w:rsidP="00B12AD0">
      <w:pPr>
        <w:jc w:val="both"/>
        <w:rPr>
          <w:rFonts w:ascii="Open Sans" w:hAnsi="Open Sans" w:cs="Open Sans"/>
          <w:i/>
          <w:iCs/>
          <w:color w:val="00B050"/>
          <w:lang w:val="fr-BE"/>
        </w:rPr>
      </w:pPr>
      <w:r w:rsidRPr="00311417">
        <w:rPr>
          <w:rFonts w:ascii="Open Sans" w:hAnsi="Open Sans" w:cs="Open Sans"/>
          <w:i/>
          <w:iCs/>
          <w:color w:val="00B050"/>
          <w:lang w:val="fr-BE"/>
        </w:rPr>
        <w:t xml:space="preserve">Note introductive pour les </w:t>
      </w:r>
      <w:proofErr w:type="spellStart"/>
      <w:r w:rsidRPr="00311417">
        <w:rPr>
          <w:rFonts w:ascii="Open Sans" w:hAnsi="Open Sans" w:cs="Open Sans"/>
          <w:i/>
          <w:iCs/>
          <w:color w:val="00B050"/>
          <w:lang w:val="fr-BE"/>
        </w:rPr>
        <w:t>délégué.e.s</w:t>
      </w:r>
      <w:proofErr w:type="spellEnd"/>
      <w:r w:rsidRPr="00311417">
        <w:rPr>
          <w:rFonts w:ascii="Open Sans" w:hAnsi="Open Sans" w:cs="Open Sans"/>
          <w:i/>
          <w:iCs/>
          <w:color w:val="00B050"/>
          <w:lang w:val="fr-BE"/>
        </w:rPr>
        <w:t xml:space="preserve"> : </w:t>
      </w:r>
    </w:p>
    <w:p w14:paraId="7F5105BA" w14:textId="77777777" w:rsidR="00311417" w:rsidRPr="00311417" w:rsidRDefault="00311417" w:rsidP="00311417">
      <w:pPr>
        <w:jc w:val="both"/>
        <w:rPr>
          <w:rFonts w:ascii="Open Sans" w:hAnsi="Open Sans" w:cs="Open Sans"/>
          <w:i/>
          <w:iCs/>
          <w:color w:val="00B050"/>
          <w:lang w:val="fr-BE"/>
        </w:rPr>
      </w:pPr>
      <w:r w:rsidRPr="00311417">
        <w:rPr>
          <w:rFonts w:ascii="Open Sans" w:hAnsi="Open Sans" w:cs="Open Sans"/>
          <w:i/>
          <w:iCs/>
          <w:color w:val="00B050"/>
          <w:lang w:val="fr-BE"/>
        </w:rPr>
        <w:t xml:space="preserve">Dans le cadre de la politique active en matière d’absence, l’employeur est contraint par la législation (Art.I.4-71/1 et 2 du Code du bien-être au travail) de mettre en place dans l’entreprise une procédure de contact avec chaque travailleur en incapacité de travail de longue durée. Cette procédure de contact doit être incluse dans le règlement de travail, donc discutée au sein du Conseil d’entreprise (ou à défaut au CPPT ou en DS). </w:t>
      </w:r>
    </w:p>
    <w:p w14:paraId="350E90A9" w14:textId="7B388901" w:rsidR="00AC697A" w:rsidRPr="00AC697A" w:rsidRDefault="00AC697A" w:rsidP="00AC697A">
      <w:pPr>
        <w:jc w:val="both"/>
        <w:rPr>
          <w:rFonts w:ascii="Open Sans" w:hAnsi="Open Sans" w:cs="Open Sans"/>
          <w:i/>
          <w:iCs/>
          <w:color w:val="00B050"/>
          <w:lang w:val="fr-BE"/>
        </w:rPr>
      </w:pPr>
      <w:r w:rsidRPr="00AC697A">
        <w:rPr>
          <w:rFonts w:ascii="Open Sans" w:hAnsi="Open Sans" w:cs="Open Sans"/>
          <w:i/>
          <w:iCs/>
          <w:color w:val="00B050"/>
          <w:lang w:val="fr-BE"/>
        </w:rPr>
        <w:t>Bien qu’il s’agisse en soi d’une disposition limitée et pratique, elle touche à un dossier complexe. Il convient dès lors de ne pas l’insérer trop rapidement et sans réflexion dans le règlement de travail, mais plutôt de l’utiliser comme point de départ pour engager un dialogue social sur une politique de prévention et de réintégration collective plus large et plus solide.</w:t>
      </w:r>
    </w:p>
    <w:p w14:paraId="0AD0766B" w14:textId="77777777" w:rsidR="00AC697A" w:rsidRPr="00AC697A" w:rsidRDefault="00AC697A" w:rsidP="00AC697A">
      <w:pPr>
        <w:jc w:val="both"/>
        <w:rPr>
          <w:rFonts w:ascii="Open Sans" w:hAnsi="Open Sans" w:cs="Open Sans"/>
          <w:i/>
          <w:iCs/>
          <w:color w:val="00B050"/>
          <w:lang w:val="fr-BE"/>
        </w:rPr>
      </w:pPr>
      <w:r w:rsidRPr="00AC697A">
        <w:rPr>
          <w:rFonts w:ascii="Open Sans" w:hAnsi="Open Sans" w:cs="Open Sans"/>
          <w:i/>
          <w:iCs/>
          <w:color w:val="00B050"/>
          <w:lang w:val="fr-BE"/>
        </w:rPr>
        <w:t>Ce qui permet structurellement de lutter contre l’absentéisme pour cause de maladie au travail, c’est une politique de prévention forte et intégrée combinée à une politique collective de réintégration. À défaut, le fait de contacter les travailleurs malades aura peu d’effet, voire pourrait aggraver la situation.</w:t>
      </w:r>
    </w:p>
    <w:p w14:paraId="7A5BA43C" w14:textId="7234D028" w:rsidR="00AC697A" w:rsidRPr="00AC697A" w:rsidRDefault="00AC697A" w:rsidP="00AC697A">
      <w:pPr>
        <w:jc w:val="both"/>
        <w:rPr>
          <w:rFonts w:ascii="Open Sans" w:hAnsi="Open Sans" w:cs="Open Sans"/>
          <w:i/>
          <w:iCs/>
          <w:color w:val="00B050"/>
          <w:lang w:val="fr-BE"/>
        </w:rPr>
      </w:pPr>
      <w:r w:rsidRPr="00AC697A">
        <w:rPr>
          <w:rFonts w:ascii="Open Sans" w:hAnsi="Open Sans" w:cs="Open Sans"/>
          <w:i/>
          <w:iCs/>
          <w:color w:val="00B050"/>
          <w:lang w:val="fr-BE"/>
        </w:rPr>
        <w:t>Une stratégie possible consiste donc à négocier une CCT portant sur la prévention et la réintégration collective, à laquelle la nouvelle disposition obligatoire du règlement de travail pourra renvoyer. Un tel accord peut contenir des mesures qui font aujourd’hui souvent défaut, telles que</w:t>
      </w:r>
      <w:r w:rsidRPr="00AC697A">
        <w:rPr>
          <w:rFonts w:ascii="Times New Roman" w:hAnsi="Times New Roman" w:cs="Times New Roman"/>
          <w:i/>
          <w:iCs/>
          <w:color w:val="00B050"/>
          <w:lang w:val="fr-BE"/>
        </w:rPr>
        <w:t> </w:t>
      </w:r>
      <w:r w:rsidRPr="00AC697A">
        <w:rPr>
          <w:rFonts w:ascii="Open Sans" w:hAnsi="Open Sans" w:cs="Open Sans"/>
          <w:i/>
          <w:iCs/>
          <w:color w:val="00B050"/>
          <w:lang w:val="fr-BE"/>
        </w:rPr>
        <w:t>: la mesure du présentéisme (le fait de continuer à travailler malgré des problèmes de santé physiques ou psychiques), des règles et garanties claires concernant la reprise progressive du travail, un renforcement de la politique en faveur des travailleurs âgés sur la base de la CCT n°</w:t>
      </w:r>
      <w:r w:rsidRPr="00AC697A">
        <w:rPr>
          <w:rFonts w:ascii="Times New Roman" w:hAnsi="Times New Roman" w:cs="Times New Roman"/>
          <w:i/>
          <w:iCs/>
          <w:color w:val="00B050"/>
          <w:lang w:val="fr-BE"/>
        </w:rPr>
        <w:t> </w:t>
      </w:r>
      <w:r w:rsidRPr="00AC697A">
        <w:rPr>
          <w:rFonts w:ascii="Open Sans" w:hAnsi="Open Sans" w:cs="Open Sans"/>
          <w:i/>
          <w:iCs/>
          <w:color w:val="00B050"/>
          <w:lang w:val="fr-BE"/>
        </w:rPr>
        <w:t>104, davantage de possibilités d’absence pour consultations médicales, ainsi qu’un frein aux pratiques de prévention et de réintégration non constructives ou potentiellement discriminatoires, comme le recours automatique à des médecins-contrôleurs ou l’utilisation de la rupture du contrat pour force majeure médicale.</w:t>
      </w:r>
    </w:p>
    <w:p w14:paraId="5716E216" w14:textId="24482A62" w:rsidR="00AC697A" w:rsidRDefault="00AC697A" w:rsidP="00311417">
      <w:pPr>
        <w:jc w:val="both"/>
        <w:rPr>
          <w:rFonts w:ascii="Open Sans" w:hAnsi="Open Sans" w:cs="Open Sans"/>
          <w:i/>
          <w:iCs/>
          <w:color w:val="00B050"/>
          <w:lang w:val="fr-BE"/>
        </w:rPr>
      </w:pPr>
      <w:r w:rsidRPr="00AC697A">
        <w:rPr>
          <w:rFonts w:ascii="Open Sans" w:hAnsi="Open Sans" w:cs="Open Sans"/>
          <w:i/>
          <w:iCs/>
          <w:color w:val="00B050"/>
          <w:lang w:val="fr-BE"/>
        </w:rPr>
        <w:lastRenderedPageBreak/>
        <w:t>Plus de la moitié des employeurs ne disposent actuellement pas d’une politique collective de réintégration, alors même que celle-ci est légalement obligatoire. Si votre employeur n’en dispose pas encore, il est vivement recommandé de l’intégrer immédiatement dans les négociations.</w:t>
      </w:r>
    </w:p>
    <w:p w14:paraId="720FAAA9" w14:textId="4219D3B7" w:rsidR="0038572C" w:rsidRDefault="0038572C" w:rsidP="00311417">
      <w:pPr>
        <w:jc w:val="both"/>
        <w:rPr>
          <w:rFonts w:ascii="Open Sans" w:hAnsi="Open Sans" w:cs="Open Sans"/>
          <w:i/>
          <w:iCs/>
          <w:color w:val="00B050"/>
          <w:lang w:val="fr-BE"/>
        </w:rPr>
      </w:pPr>
      <w:r w:rsidRPr="0038572C">
        <w:rPr>
          <w:rFonts w:ascii="Open Sans" w:hAnsi="Open Sans" w:cs="Open Sans"/>
          <w:i/>
          <w:iCs/>
          <w:color w:val="00B050"/>
          <w:lang w:val="fr-BE"/>
        </w:rPr>
        <w:t xml:space="preserve">La CSC a élaboré à cet effet </w:t>
      </w:r>
      <w:hyperlink r:id="rId8" w:history="1">
        <w:r w:rsidRPr="005C26BE">
          <w:rPr>
            <w:rStyle w:val="Lienhypertexte"/>
            <w:rFonts w:ascii="Open Sans" w:hAnsi="Open Sans" w:cs="Open Sans"/>
            <w:b/>
            <w:bCs/>
            <w:i/>
            <w:iCs/>
            <w:lang w:val="fr-BE"/>
          </w:rPr>
          <w:t>un protocole modèle</w:t>
        </w:r>
      </w:hyperlink>
      <w:r w:rsidRPr="0038572C">
        <w:rPr>
          <w:rFonts w:ascii="Open Sans" w:hAnsi="Open Sans" w:cs="Open Sans"/>
          <w:i/>
          <w:iCs/>
          <w:color w:val="00B050"/>
          <w:lang w:val="fr-BE"/>
        </w:rPr>
        <w:t>.</w:t>
      </w:r>
    </w:p>
    <w:p w14:paraId="025543A7" w14:textId="77777777" w:rsidR="004E7B40" w:rsidRDefault="004E7B40" w:rsidP="00311417">
      <w:pPr>
        <w:jc w:val="both"/>
        <w:rPr>
          <w:rFonts w:ascii="Open Sans" w:hAnsi="Open Sans" w:cs="Open Sans"/>
          <w:i/>
          <w:iCs/>
          <w:color w:val="00B050"/>
          <w:lang w:val="fr-BE"/>
        </w:rPr>
      </w:pPr>
    </w:p>
    <w:p w14:paraId="6255BD82" w14:textId="060709FD" w:rsidR="00311417" w:rsidRPr="00311417" w:rsidRDefault="00311417" w:rsidP="00311417">
      <w:pPr>
        <w:jc w:val="both"/>
        <w:rPr>
          <w:rFonts w:ascii="Open Sans" w:hAnsi="Open Sans" w:cs="Open Sans"/>
          <w:i/>
          <w:iCs/>
          <w:color w:val="00B050"/>
          <w:lang w:val="fr-BE"/>
        </w:rPr>
      </w:pPr>
      <w:r w:rsidRPr="00311417">
        <w:rPr>
          <w:rFonts w:ascii="Open Sans" w:hAnsi="Open Sans" w:cs="Open Sans"/>
          <w:i/>
          <w:iCs/>
          <w:color w:val="00B050"/>
          <w:lang w:val="fr-BE"/>
        </w:rPr>
        <w:t>Voici une proposition d’ajout au règlement de travail concernant la procédure de contact, reprenant toutes les obligations légales et précisant les droits, devoirs et limites à respecter pour chaque acteur impliqué. Si vous ne souhaitez pas modifier directement le règlement de travail proprement dit, cette procédure de contact peut être ajoutée en annexe au règlement de travail.</w:t>
      </w:r>
    </w:p>
    <w:p w14:paraId="3F6774AE" w14:textId="77777777" w:rsidR="00311417" w:rsidRDefault="00311417" w:rsidP="00B12AD0">
      <w:pPr>
        <w:jc w:val="both"/>
        <w:rPr>
          <w:rFonts w:ascii="Open Sans" w:hAnsi="Open Sans" w:cs="Open Sans"/>
          <w:lang w:val="fr-BE"/>
        </w:rPr>
      </w:pPr>
    </w:p>
    <w:p w14:paraId="740290B8" w14:textId="1C827B8B" w:rsidR="004C286B" w:rsidRDefault="004C286B" w:rsidP="00B12AD0">
      <w:pPr>
        <w:pStyle w:val="Paragraphedeliste"/>
        <w:numPr>
          <w:ilvl w:val="0"/>
          <w:numId w:val="2"/>
        </w:numPr>
        <w:jc w:val="both"/>
        <w:rPr>
          <w:rFonts w:ascii="Open Sans" w:hAnsi="Open Sans" w:cs="Open Sans"/>
          <w:lang w:val="fr-BE"/>
        </w:rPr>
      </w:pPr>
      <w:r>
        <w:rPr>
          <w:rFonts w:ascii="Open Sans" w:hAnsi="Open Sans" w:cs="Open Sans"/>
          <w:lang w:val="fr-BE"/>
        </w:rPr>
        <w:t>Obje</w:t>
      </w:r>
      <w:r w:rsidR="00B60FDC">
        <w:rPr>
          <w:rFonts w:ascii="Open Sans" w:hAnsi="Open Sans" w:cs="Open Sans"/>
          <w:lang w:val="fr-BE"/>
        </w:rPr>
        <w:t>ctifs</w:t>
      </w:r>
      <w:r>
        <w:rPr>
          <w:rFonts w:ascii="Open Sans" w:hAnsi="Open Sans" w:cs="Open Sans"/>
          <w:lang w:val="fr-BE"/>
        </w:rPr>
        <w:t xml:space="preserve"> du contact</w:t>
      </w:r>
    </w:p>
    <w:p w14:paraId="48CD4AF4" w14:textId="6D04B721" w:rsidR="00B60FDC" w:rsidRDefault="00B60FDC" w:rsidP="00B12AD0">
      <w:pPr>
        <w:jc w:val="both"/>
        <w:rPr>
          <w:rFonts w:ascii="Open Sans" w:hAnsi="Open Sans" w:cs="Open Sans"/>
          <w:lang w:val="fr-BE"/>
        </w:rPr>
      </w:pPr>
      <w:r>
        <w:rPr>
          <w:rFonts w:ascii="Open Sans" w:hAnsi="Open Sans" w:cs="Open Sans"/>
          <w:lang w:val="fr-BE"/>
        </w:rPr>
        <w:t>Le contact a uniquement pour objectif de maintenir le lien entre l’entreprise et le travailleur en incapacité de travail et d’informer ce dernier des possibilités éventuelles de reprise du travail. En aucun cas il ne peut s’agir de contrôler le bien-fondé ou le motif de l’incapacité de travail</w:t>
      </w:r>
      <w:r w:rsidR="000F346E">
        <w:rPr>
          <w:rFonts w:ascii="Open Sans" w:hAnsi="Open Sans" w:cs="Open Sans"/>
          <w:lang w:val="fr-BE"/>
        </w:rPr>
        <w:t xml:space="preserve"> ni</w:t>
      </w:r>
      <w:r w:rsidR="00B77829">
        <w:rPr>
          <w:rFonts w:ascii="Open Sans" w:hAnsi="Open Sans" w:cs="Open Sans"/>
          <w:lang w:val="fr-BE"/>
        </w:rPr>
        <w:t xml:space="preserve"> de faire pression sur le travailleur pour un retour anticipé</w:t>
      </w:r>
      <w:r>
        <w:rPr>
          <w:rFonts w:ascii="Open Sans" w:hAnsi="Open Sans" w:cs="Open Sans"/>
          <w:lang w:val="fr-BE"/>
        </w:rPr>
        <w:t>.</w:t>
      </w:r>
      <w:r>
        <w:rPr>
          <w:rStyle w:val="Appelnotedebasdep"/>
          <w:rFonts w:ascii="Open Sans" w:hAnsi="Open Sans" w:cs="Open Sans"/>
          <w:lang w:val="fr-BE"/>
        </w:rPr>
        <w:footnoteReference w:id="1"/>
      </w:r>
    </w:p>
    <w:p w14:paraId="17115336" w14:textId="77777777" w:rsidR="00B60FDC" w:rsidRDefault="00B60FDC" w:rsidP="00B12AD0">
      <w:pPr>
        <w:jc w:val="both"/>
        <w:rPr>
          <w:rFonts w:ascii="Open Sans" w:hAnsi="Open Sans" w:cs="Open Sans"/>
          <w:lang w:val="fr-BE"/>
        </w:rPr>
      </w:pPr>
    </w:p>
    <w:p w14:paraId="5D5080FE" w14:textId="4DFF2D5B" w:rsidR="00B60FDC" w:rsidRDefault="00B60FDC" w:rsidP="00B12AD0">
      <w:pPr>
        <w:pStyle w:val="Paragraphedeliste"/>
        <w:numPr>
          <w:ilvl w:val="0"/>
          <w:numId w:val="2"/>
        </w:numPr>
        <w:jc w:val="both"/>
        <w:rPr>
          <w:rFonts w:ascii="Open Sans" w:hAnsi="Open Sans" w:cs="Open Sans"/>
          <w:lang w:val="fr-BE"/>
        </w:rPr>
      </w:pPr>
      <w:r>
        <w:rPr>
          <w:rFonts w:ascii="Open Sans" w:hAnsi="Open Sans" w:cs="Open Sans"/>
          <w:lang w:val="fr-BE"/>
        </w:rPr>
        <w:t>Fréquence d</w:t>
      </w:r>
      <w:r w:rsidR="00BA2C92">
        <w:rPr>
          <w:rFonts w:ascii="Open Sans" w:hAnsi="Open Sans" w:cs="Open Sans"/>
          <w:lang w:val="fr-BE"/>
        </w:rPr>
        <w:t>es</w:t>
      </w:r>
      <w:r>
        <w:rPr>
          <w:rFonts w:ascii="Open Sans" w:hAnsi="Open Sans" w:cs="Open Sans"/>
          <w:lang w:val="fr-BE"/>
        </w:rPr>
        <w:t xml:space="preserve"> contact</w:t>
      </w:r>
      <w:r w:rsidR="00BA2C92">
        <w:rPr>
          <w:rFonts w:ascii="Open Sans" w:hAnsi="Open Sans" w:cs="Open Sans"/>
          <w:lang w:val="fr-BE"/>
        </w:rPr>
        <w:t>s</w:t>
      </w:r>
    </w:p>
    <w:p w14:paraId="22E8354B" w14:textId="30D5D9F5" w:rsidR="00B60FDC" w:rsidRDefault="00B60FDC" w:rsidP="00B12AD0">
      <w:pPr>
        <w:jc w:val="both"/>
        <w:rPr>
          <w:rFonts w:ascii="Open Sans" w:hAnsi="Open Sans" w:cs="Open Sans"/>
          <w:lang w:val="fr-BE"/>
        </w:rPr>
      </w:pPr>
      <w:r>
        <w:rPr>
          <w:rFonts w:ascii="Open Sans" w:hAnsi="Open Sans" w:cs="Open Sans"/>
          <w:lang w:val="fr-BE"/>
        </w:rPr>
        <w:t>L</w:t>
      </w:r>
      <w:r w:rsidR="00542B8C">
        <w:rPr>
          <w:rFonts w:ascii="Open Sans" w:hAnsi="Open Sans" w:cs="Open Sans"/>
          <w:lang w:val="fr-BE"/>
        </w:rPr>
        <w:t>e</w:t>
      </w:r>
      <w:r>
        <w:rPr>
          <w:rFonts w:ascii="Open Sans" w:hAnsi="Open Sans" w:cs="Open Sans"/>
          <w:lang w:val="fr-BE"/>
        </w:rPr>
        <w:t xml:space="preserve"> premier contact sera </w:t>
      </w:r>
      <w:r w:rsidR="00BC63FD">
        <w:rPr>
          <w:rFonts w:ascii="Open Sans" w:hAnsi="Open Sans" w:cs="Open Sans"/>
          <w:lang w:val="fr-BE"/>
        </w:rPr>
        <w:t>effectué</w:t>
      </w:r>
      <w:r>
        <w:rPr>
          <w:rFonts w:ascii="Open Sans" w:hAnsi="Open Sans" w:cs="Open Sans"/>
          <w:lang w:val="fr-BE"/>
        </w:rPr>
        <w:t xml:space="preserve"> </w:t>
      </w:r>
      <w:r w:rsidR="005F0B6A">
        <w:rPr>
          <w:rFonts w:ascii="Open Sans" w:hAnsi="Open Sans" w:cs="Open Sans"/>
          <w:lang w:val="fr-BE"/>
        </w:rPr>
        <w:t>après une incapacité de travail d</w:t>
      </w:r>
      <w:r w:rsidR="007B51DF">
        <w:rPr>
          <w:rFonts w:ascii="Open Sans" w:hAnsi="Open Sans" w:cs="Open Sans"/>
          <w:lang w:val="fr-BE"/>
        </w:rPr>
        <w:t xml:space="preserve">’au </w:t>
      </w:r>
      <w:r w:rsidR="005F0B6A">
        <w:rPr>
          <w:rFonts w:ascii="Open Sans" w:hAnsi="Open Sans" w:cs="Open Sans"/>
          <w:lang w:val="fr-BE"/>
        </w:rPr>
        <w:t>minimum</w:t>
      </w:r>
      <w:r w:rsidR="00667C37">
        <w:rPr>
          <w:rFonts w:ascii="Open Sans" w:hAnsi="Open Sans" w:cs="Open Sans"/>
          <w:lang w:val="fr-BE"/>
        </w:rPr>
        <w:t xml:space="preserve"> quatre semaines</w:t>
      </w:r>
      <w:r w:rsidR="007C20B0">
        <w:rPr>
          <w:rFonts w:ascii="Open Sans" w:hAnsi="Open Sans" w:cs="Open Sans"/>
          <w:lang w:val="fr-BE"/>
        </w:rPr>
        <w:t>.</w:t>
      </w:r>
      <w:r w:rsidR="00A01A51">
        <w:rPr>
          <w:rFonts w:ascii="Open Sans" w:hAnsi="Open Sans" w:cs="Open Sans"/>
          <w:lang w:val="fr-BE"/>
        </w:rPr>
        <w:t xml:space="preserve"> </w:t>
      </w:r>
    </w:p>
    <w:p w14:paraId="3AECF9A0" w14:textId="04F83BF3" w:rsidR="00B60FDC" w:rsidRDefault="00B60FDC" w:rsidP="00B12AD0">
      <w:pPr>
        <w:jc w:val="both"/>
        <w:rPr>
          <w:rFonts w:ascii="Open Sans" w:hAnsi="Open Sans" w:cs="Open Sans"/>
          <w:lang w:val="fr-BE"/>
        </w:rPr>
      </w:pPr>
      <w:r>
        <w:rPr>
          <w:rFonts w:ascii="Open Sans" w:hAnsi="Open Sans" w:cs="Open Sans"/>
          <w:lang w:val="fr-BE"/>
        </w:rPr>
        <w:t>Afin de respecter la convalescence du travailleur, la fréquence de</w:t>
      </w:r>
      <w:r w:rsidR="007B51DF">
        <w:rPr>
          <w:rFonts w:ascii="Open Sans" w:hAnsi="Open Sans" w:cs="Open Sans"/>
          <w:lang w:val="fr-BE"/>
        </w:rPr>
        <w:t>s</w:t>
      </w:r>
      <w:r>
        <w:rPr>
          <w:rFonts w:ascii="Open Sans" w:hAnsi="Open Sans" w:cs="Open Sans"/>
          <w:lang w:val="fr-BE"/>
        </w:rPr>
        <w:t xml:space="preserve"> contact</w:t>
      </w:r>
      <w:r w:rsidR="007B51DF">
        <w:rPr>
          <w:rFonts w:ascii="Open Sans" w:hAnsi="Open Sans" w:cs="Open Sans"/>
          <w:lang w:val="fr-BE"/>
        </w:rPr>
        <w:t>s</w:t>
      </w:r>
      <w:r>
        <w:rPr>
          <w:rFonts w:ascii="Open Sans" w:hAnsi="Open Sans" w:cs="Open Sans"/>
          <w:lang w:val="fr-BE"/>
        </w:rPr>
        <w:t xml:space="preserve"> est adaptée à la durée de </w:t>
      </w:r>
      <w:r w:rsidR="00BC4467">
        <w:rPr>
          <w:rFonts w:ascii="Open Sans" w:hAnsi="Open Sans" w:cs="Open Sans"/>
          <w:lang w:val="fr-BE"/>
        </w:rPr>
        <w:t>l’</w:t>
      </w:r>
      <w:r>
        <w:rPr>
          <w:rFonts w:ascii="Open Sans" w:hAnsi="Open Sans" w:cs="Open Sans"/>
          <w:lang w:val="fr-BE"/>
        </w:rPr>
        <w:t xml:space="preserve">incapacité, à </w:t>
      </w:r>
      <w:r w:rsidR="00BC4467">
        <w:rPr>
          <w:rFonts w:ascii="Open Sans" w:hAnsi="Open Sans" w:cs="Open Sans"/>
          <w:lang w:val="fr-BE"/>
        </w:rPr>
        <w:t>la</w:t>
      </w:r>
      <w:r>
        <w:rPr>
          <w:rFonts w:ascii="Open Sans" w:hAnsi="Open Sans" w:cs="Open Sans"/>
          <w:lang w:val="fr-BE"/>
        </w:rPr>
        <w:t xml:space="preserve"> situation </w:t>
      </w:r>
      <w:r w:rsidR="00BC4467">
        <w:rPr>
          <w:rFonts w:ascii="Open Sans" w:hAnsi="Open Sans" w:cs="Open Sans"/>
          <w:lang w:val="fr-BE"/>
        </w:rPr>
        <w:t xml:space="preserve">du travailleur </w:t>
      </w:r>
      <w:r>
        <w:rPr>
          <w:rFonts w:ascii="Open Sans" w:hAnsi="Open Sans" w:cs="Open Sans"/>
          <w:lang w:val="fr-BE"/>
        </w:rPr>
        <w:t xml:space="preserve">et </w:t>
      </w:r>
      <w:r w:rsidR="00BF00A9">
        <w:rPr>
          <w:rFonts w:ascii="Open Sans" w:hAnsi="Open Sans" w:cs="Open Sans"/>
          <w:lang w:val="fr-BE"/>
        </w:rPr>
        <w:t>à ses</w:t>
      </w:r>
      <w:r>
        <w:rPr>
          <w:rFonts w:ascii="Open Sans" w:hAnsi="Open Sans" w:cs="Open Sans"/>
          <w:lang w:val="fr-BE"/>
        </w:rPr>
        <w:t xml:space="preserve"> besoins. La fréquence p</w:t>
      </w:r>
      <w:r w:rsidR="00647FDE">
        <w:rPr>
          <w:rFonts w:ascii="Open Sans" w:hAnsi="Open Sans" w:cs="Open Sans"/>
          <w:lang w:val="fr-BE"/>
        </w:rPr>
        <w:t>eut</w:t>
      </w:r>
      <w:r>
        <w:rPr>
          <w:rFonts w:ascii="Open Sans" w:hAnsi="Open Sans" w:cs="Open Sans"/>
          <w:lang w:val="fr-BE"/>
        </w:rPr>
        <w:t xml:space="preserve"> être adaptée</w:t>
      </w:r>
      <w:r w:rsidR="00BF58F6">
        <w:rPr>
          <w:rFonts w:ascii="Open Sans" w:hAnsi="Open Sans" w:cs="Open Sans"/>
          <w:lang w:val="fr-BE"/>
        </w:rPr>
        <w:t xml:space="preserve"> lors de chaque contact ou à la demande du travailleur</w:t>
      </w:r>
      <w:r>
        <w:rPr>
          <w:rFonts w:ascii="Open Sans" w:hAnsi="Open Sans" w:cs="Open Sans"/>
          <w:lang w:val="fr-BE"/>
        </w:rPr>
        <w:t>.</w:t>
      </w:r>
    </w:p>
    <w:p w14:paraId="6ACEDDC5" w14:textId="0B3E3562" w:rsidR="00DA3681" w:rsidRDefault="00DA3681" w:rsidP="00B12AD0">
      <w:pPr>
        <w:jc w:val="both"/>
        <w:rPr>
          <w:rFonts w:ascii="Open Sans" w:hAnsi="Open Sans" w:cs="Open Sans"/>
          <w:lang w:val="fr-BE"/>
        </w:rPr>
      </w:pPr>
      <w:r>
        <w:rPr>
          <w:rFonts w:ascii="Open Sans" w:hAnsi="Open Sans" w:cs="Open Sans"/>
          <w:lang w:val="fr-BE"/>
        </w:rPr>
        <w:t>Tout contact excessif ou intrusif doit être proscrit.</w:t>
      </w:r>
    </w:p>
    <w:p w14:paraId="0AA8525D" w14:textId="77777777" w:rsidR="00A51EC1" w:rsidRDefault="00A51EC1" w:rsidP="00B12AD0">
      <w:pPr>
        <w:pStyle w:val="Paragraphedeliste"/>
        <w:jc w:val="both"/>
        <w:rPr>
          <w:rFonts w:ascii="Open Sans" w:hAnsi="Open Sans" w:cs="Open Sans"/>
          <w:lang w:val="fr-BE"/>
        </w:rPr>
      </w:pPr>
    </w:p>
    <w:p w14:paraId="49FCA55F" w14:textId="6EC10C87" w:rsidR="00DA3681" w:rsidRDefault="000320A0" w:rsidP="00B12AD0">
      <w:pPr>
        <w:pStyle w:val="Paragraphedeliste"/>
        <w:numPr>
          <w:ilvl w:val="0"/>
          <w:numId w:val="2"/>
        </w:numPr>
        <w:jc w:val="both"/>
        <w:rPr>
          <w:rFonts w:ascii="Open Sans" w:hAnsi="Open Sans" w:cs="Open Sans"/>
          <w:lang w:val="fr-BE"/>
        </w:rPr>
      </w:pPr>
      <w:r>
        <w:rPr>
          <w:rFonts w:ascii="Open Sans" w:hAnsi="Open Sans" w:cs="Open Sans"/>
          <w:lang w:val="fr-BE"/>
        </w:rPr>
        <w:lastRenderedPageBreak/>
        <w:t>Formulaire de p</w:t>
      </w:r>
      <w:r w:rsidR="00A51EC1">
        <w:rPr>
          <w:rFonts w:ascii="Open Sans" w:hAnsi="Open Sans" w:cs="Open Sans"/>
          <w:lang w:val="fr-BE"/>
        </w:rPr>
        <w:t>remier contact</w:t>
      </w:r>
    </w:p>
    <w:p w14:paraId="12DB36F7" w14:textId="73A8AF4F" w:rsidR="00BF102A" w:rsidRDefault="00A51EC1" w:rsidP="00B12AD0">
      <w:pPr>
        <w:jc w:val="both"/>
        <w:rPr>
          <w:rFonts w:ascii="Open Sans" w:hAnsi="Open Sans" w:cs="Open Sans"/>
          <w:lang w:val="fr-BE"/>
        </w:rPr>
      </w:pPr>
      <w:r>
        <w:rPr>
          <w:rFonts w:ascii="Open Sans" w:hAnsi="Open Sans" w:cs="Open Sans"/>
          <w:lang w:val="fr-BE"/>
        </w:rPr>
        <w:t xml:space="preserve">Le premier contact avec le travailleur </w:t>
      </w:r>
      <w:r w:rsidR="00521BF7">
        <w:rPr>
          <w:rFonts w:ascii="Open Sans" w:hAnsi="Open Sans" w:cs="Open Sans"/>
          <w:lang w:val="fr-BE"/>
        </w:rPr>
        <w:t xml:space="preserve">en incapacité de travail </w:t>
      </w:r>
      <w:r w:rsidR="002E43EC">
        <w:rPr>
          <w:rFonts w:ascii="Open Sans" w:hAnsi="Open Sans" w:cs="Open Sans"/>
          <w:lang w:val="fr-BE"/>
        </w:rPr>
        <w:t>est établi</w:t>
      </w:r>
      <w:r>
        <w:rPr>
          <w:rFonts w:ascii="Open Sans" w:hAnsi="Open Sans" w:cs="Open Sans"/>
          <w:lang w:val="fr-BE"/>
        </w:rPr>
        <w:t xml:space="preserve"> sous forme de courrier postal envoyé à l’adresse personnelle du travailleur. Ce premier courrier </w:t>
      </w:r>
      <w:r w:rsidR="00D15DFB">
        <w:rPr>
          <w:rFonts w:ascii="Open Sans" w:hAnsi="Open Sans" w:cs="Open Sans"/>
          <w:lang w:val="fr-BE"/>
        </w:rPr>
        <w:t xml:space="preserve">postal </w:t>
      </w:r>
      <w:r w:rsidR="00295EB3">
        <w:rPr>
          <w:rFonts w:ascii="Open Sans" w:hAnsi="Open Sans" w:cs="Open Sans"/>
          <w:lang w:val="fr-BE"/>
        </w:rPr>
        <w:t>contien</w:t>
      </w:r>
      <w:r w:rsidR="002E43EC">
        <w:rPr>
          <w:rFonts w:ascii="Open Sans" w:hAnsi="Open Sans" w:cs="Open Sans"/>
          <w:lang w:val="fr-BE"/>
        </w:rPr>
        <w:t>t</w:t>
      </w:r>
      <w:r w:rsidR="00295EB3">
        <w:rPr>
          <w:rFonts w:ascii="Open Sans" w:hAnsi="Open Sans" w:cs="Open Sans"/>
          <w:lang w:val="fr-BE"/>
        </w:rPr>
        <w:t xml:space="preserve"> un formulaire que le travailleur </w:t>
      </w:r>
      <w:r w:rsidR="00521BF7">
        <w:rPr>
          <w:rFonts w:ascii="Open Sans" w:hAnsi="Open Sans" w:cs="Open Sans"/>
          <w:lang w:val="fr-BE"/>
        </w:rPr>
        <w:t xml:space="preserve">en incapacité de travail </w:t>
      </w:r>
      <w:r w:rsidR="00295EB3">
        <w:rPr>
          <w:rFonts w:ascii="Open Sans" w:hAnsi="Open Sans" w:cs="Open Sans"/>
          <w:lang w:val="fr-BE"/>
        </w:rPr>
        <w:t>peut complét</w:t>
      </w:r>
      <w:r w:rsidR="00BE73F2">
        <w:rPr>
          <w:rFonts w:ascii="Open Sans" w:hAnsi="Open Sans" w:cs="Open Sans"/>
          <w:lang w:val="fr-BE"/>
        </w:rPr>
        <w:t xml:space="preserve">er et </w:t>
      </w:r>
      <w:r w:rsidR="003A1717">
        <w:rPr>
          <w:rFonts w:ascii="Open Sans" w:hAnsi="Open Sans" w:cs="Open Sans"/>
          <w:lang w:val="fr-BE"/>
        </w:rPr>
        <w:t>transmettre</w:t>
      </w:r>
      <w:r w:rsidR="00BE73F2">
        <w:rPr>
          <w:rFonts w:ascii="Open Sans" w:hAnsi="Open Sans" w:cs="Open Sans"/>
          <w:lang w:val="fr-BE"/>
        </w:rPr>
        <w:t xml:space="preserve"> à son employeur. </w:t>
      </w:r>
    </w:p>
    <w:p w14:paraId="47C0AB00" w14:textId="63C4E03C" w:rsidR="00A51EC1" w:rsidRDefault="00BE73F2" w:rsidP="00B12AD0">
      <w:pPr>
        <w:jc w:val="both"/>
        <w:rPr>
          <w:rFonts w:ascii="Open Sans" w:hAnsi="Open Sans" w:cs="Open Sans"/>
          <w:lang w:val="fr-BE"/>
        </w:rPr>
      </w:pPr>
      <w:r>
        <w:rPr>
          <w:rFonts w:ascii="Open Sans" w:hAnsi="Open Sans" w:cs="Open Sans"/>
          <w:lang w:val="fr-BE"/>
        </w:rPr>
        <w:t>Ce formulaire demande au travailleur de renseigne</w:t>
      </w:r>
      <w:r w:rsidR="002E43EC">
        <w:rPr>
          <w:rFonts w:ascii="Open Sans" w:hAnsi="Open Sans" w:cs="Open Sans"/>
          <w:lang w:val="fr-BE"/>
        </w:rPr>
        <w:t>r</w:t>
      </w:r>
      <w:r>
        <w:rPr>
          <w:rFonts w:ascii="Open Sans" w:hAnsi="Open Sans" w:cs="Open Sans"/>
          <w:lang w:val="fr-BE"/>
        </w:rPr>
        <w:t xml:space="preserve"> les informations</w:t>
      </w:r>
      <w:r w:rsidR="002E43EC">
        <w:rPr>
          <w:rFonts w:ascii="Open Sans" w:hAnsi="Open Sans" w:cs="Open Sans"/>
          <w:lang w:val="fr-BE"/>
        </w:rPr>
        <w:t xml:space="preserve"> suivantes : </w:t>
      </w:r>
    </w:p>
    <w:p w14:paraId="5BF7AED5" w14:textId="68571717" w:rsidR="00CA5773" w:rsidRDefault="00FC62E6" w:rsidP="00B12AD0">
      <w:pPr>
        <w:pStyle w:val="Paragraphedeliste"/>
        <w:numPr>
          <w:ilvl w:val="0"/>
          <w:numId w:val="4"/>
        </w:numPr>
        <w:jc w:val="both"/>
        <w:rPr>
          <w:rFonts w:ascii="Open Sans" w:hAnsi="Open Sans" w:cs="Open Sans"/>
          <w:lang w:val="fr-BE"/>
        </w:rPr>
      </w:pPr>
      <w:r>
        <w:rPr>
          <w:rFonts w:ascii="Open Sans" w:hAnsi="Open Sans" w:cs="Open Sans"/>
          <w:lang w:val="fr-BE"/>
        </w:rPr>
        <w:t>Moyens de contact souhaités par le travailleur</w:t>
      </w:r>
      <w:r>
        <w:rPr>
          <w:rStyle w:val="Appelnotedebasdep"/>
          <w:rFonts w:ascii="Open Sans" w:hAnsi="Open Sans" w:cs="Open Sans"/>
          <w:lang w:val="fr-BE"/>
        </w:rPr>
        <w:footnoteReference w:id="2"/>
      </w:r>
      <w:r>
        <w:rPr>
          <w:rFonts w:ascii="Open Sans" w:hAnsi="Open Sans" w:cs="Open Sans"/>
          <w:lang w:val="fr-BE"/>
        </w:rPr>
        <w:t> </w:t>
      </w:r>
      <w:r w:rsidR="003A2CC1">
        <w:rPr>
          <w:rFonts w:ascii="Open Sans" w:hAnsi="Open Sans" w:cs="Open Sans"/>
          <w:lang w:val="fr-BE"/>
        </w:rPr>
        <w:t xml:space="preserve">et coordonnées de contact : </w:t>
      </w:r>
      <w:r w:rsidR="00107AE9">
        <w:rPr>
          <w:rFonts w:ascii="Open Sans" w:hAnsi="Open Sans" w:cs="Open Sans"/>
          <w:lang w:val="fr-BE"/>
        </w:rPr>
        <w:t>………………………………………………………………………….………………………………</w:t>
      </w:r>
      <w:r w:rsidR="005B538F">
        <w:rPr>
          <w:rFonts w:ascii="Open Sans" w:hAnsi="Open Sans" w:cs="Open Sans"/>
          <w:lang w:val="fr-BE"/>
        </w:rPr>
        <w:t>…………</w:t>
      </w:r>
      <w:r w:rsidR="00B12AD0">
        <w:rPr>
          <w:rFonts w:ascii="Open Sans" w:hAnsi="Open Sans" w:cs="Open Sans"/>
          <w:lang w:val="fr-BE"/>
        </w:rPr>
        <w:t>…</w:t>
      </w:r>
    </w:p>
    <w:p w14:paraId="4AF59942" w14:textId="2CC220C9" w:rsidR="00147BD8" w:rsidRDefault="00A11D72" w:rsidP="00B12AD0">
      <w:pPr>
        <w:pStyle w:val="Paragraphedeliste"/>
        <w:numPr>
          <w:ilvl w:val="0"/>
          <w:numId w:val="4"/>
        </w:numPr>
        <w:jc w:val="both"/>
        <w:rPr>
          <w:rFonts w:ascii="Open Sans" w:hAnsi="Open Sans" w:cs="Open Sans"/>
          <w:lang w:val="fr-BE"/>
        </w:rPr>
      </w:pPr>
      <w:r>
        <w:rPr>
          <w:rFonts w:ascii="Open Sans" w:hAnsi="Open Sans" w:cs="Open Sans"/>
          <w:lang w:val="fr-BE"/>
        </w:rPr>
        <w:t>N</w:t>
      </w:r>
      <w:r w:rsidR="00CA5773">
        <w:rPr>
          <w:rFonts w:ascii="Open Sans" w:hAnsi="Open Sans" w:cs="Open Sans"/>
          <w:lang w:val="fr-BE"/>
        </w:rPr>
        <w:t xml:space="preserve">om et prénom </w:t>
      </w:r>
      <w:r w:rsidR="004E2E29">
        <w:rPr>
          <w:rFonts w:ascii="Open Sans" w:hAnsi="Open Sans" w:cs="Open Sans"/>
          <w:lang w:val="fr-BE"/>
        </w:rPr>
        <w:t xml:space="preserve">(ou fonction) </w:t>
      </w:r>
      <w:r w:rsidR="00CA5773">
        <w:rPr>
          <w:rFonts w:ascii="Open Sans" w:hAnsi="Open Sans" w:cs="Open Sans"/>
          <w:lang w:val="fr-BE"/>
        </w:rPr>
        <w:t>de la ou des personne(s) de contact</w:t>
      </w:r>
      <w:r w:rsidR="00E57129">
        <w:rPr>
          <w:rFonts w:ascii="Open Sans" w:hAnsi="Open Sans" w:cs="Open Sans"/>
          <w:lang w:val="fr-BE"/>
        </w:rPr>
        <w:t xml:space="preserve"> souhaitée(s)</w:t>
      </w:r>
      <w:r>
        <w:rPr>
          <w:rStyle w:val="Appelnotedebasdep"/>
          <w:rFonts w:ascii="Open Sans" w:hAnsi="Open Sans" w:cs="Open Sans"/>
          <w:lang w:val="fr-BE"/>
        </w:rPr>
        <w:footnoteReference w:id="3"/>
      </w:r>
      <w:r>
        <w:rPr>
          <w:rFonts w:ascii="Open Sans" w:hAnsi="Open Sans" w:cs="Open Sans"/>
          <w:lang w:val="fr-BE"/>
        </w:rPr>
        <w:t> </w:t>
      </w:r>
      <w:r w:rsidR="00107AE9">
        <w:rPr>
          <w:rFonts w:ascii="Open Sans" w:hAnsi="Open Sans" w:cs="Open Sans"/>
          <w:lang w:val="fr-BE"/>
        </w:rPr>
        <w:t>(</w:t>
      </w:r>
      <w:r w:rsidR="00BF102A" w:rsidRPr="00B12AD0">
        <w:rPr>
          <w:rFonts w:ascii="Open Sans" w:hAnsi="Open Sans" w:cs="Open Sans"/>
          <w:lang w:val="fr-BE"/>
        </w:rPr>
        <w:t xml:space="preserve">NB ; </w:t>
      </w:r>
      <w:r w:rsidR="005B538F">
        <w:rPr>
          <w:rFonts w:ascii="Open Sans" w:hAnsi="Open Sans" w:cs="Open Sans"/>
          <w:lang w:val="fr-BE"/>
        </w:rPr>
        <w:t>l</w:t>
      </w:r>
      <w:r w:rsidR="00147BD8" w:rsidRPr="00B12AD0">
        <w:rPr>
          <w:rFonts w:ascii="Open Sans" w:hAnsi="Open Sans" w:cs="Open Sans"/>
          <w:lang w:val="fr-BE"/>
        </w:rPr>
        <w:t>a personne de contact est</w:t>
      </w:r>
      <w:r w:rsidR="009F12ED" w:rsidRPr="00B12AD0">
        <w:rPr>
          <w:rFonts w:ascii="Open Sans" w:hAnsi="Open Sans" w:cs="Open Sans"/>
          <w:lang w:val="fr-BE"/>
        </w:rPr>
        <w:t xml:space="preserve"> uniquement</w:t>
      </w:r>
      <w:r w:rsidR="00147BD8" w:rsidRPr="00B12AD0">
        <w:rPr>
          <w:rFonts w:ascii="Open Sans" w:hAnsi="Open Sans" w:cs="Open Sans"/>
          <w:lang w:val="fr-BE"/>
        </w:rPr>
        <w:t xml:space="preserve"> tenue, lors de son retour vers l’employeur, </w:t>
      </w:r>
      <w:r w:rsidR="00E1363C">
        <w:rPr>
          <w:rFonts w:ascii="Open Sans" w:hAnsi="Open Sans" w:cs="Open Sans"/>
          <w:lang w:val="fr-BE"/>
        </w:rPr>
        <w:t>de</w:t>
      </w:r>
      <w:r w:rsidR="009F12ED" w:rsidRPr="00B12AD0">
        <w:rPr>
          <w:rFonts w:ascii="Open Sans" w:hAnsi="Open Sans" w:cs="Open Sans"/>
          <w:lang w:val="fr-BE"/>
        </w:rPr>
        <w:t xml:space="preserve"> confirmer</w:t>
      </w:r>
      <w:r w:rsidR="00147BD8" w:rsidRPr="00B12AD0">
        <w:rPr>
          <w:rFonts w:ascii="Open Sans" w:hAnsi="Open Sans" w:cs="Open Sans"/>
          <w:lang w:val="fr-BE"/>
        </w:rPr>
        <w:t xml:space="preserve"> que le contact a bien eu lieu ou non. Toute autre information ne p</w:t>
      </w:r>
      <w:r w:rsidR="00BF102A" w:rsidRPr="00B12AD0">
        <w:rPr>
          <w:rFonts w:ascii="Open Sans" w:hAnsi="Open Sans" w:cs="Open Sans"/>
          <w:lang w:val="fr-BE"/>
        </w:rPr>
        <w:t>eut</w:t>
      </w:r>
      <w:r w:rsidR="00147BD8" w:rsidRPr="00B12AD0">
        <w:rPr>
          <w:rFonts w:ascii="Open Sans" w:hAnsi="Open Sans" w:cs="Open Sans"/>
          <w:lang w:val="fr-BE"/>
        </w:rPr>
        <w:t xml:space="preserve"> être transmise à l’employeur qu</w:t>
      </w:r>
      <w:r w:rsidR="008F3230">
        <w:rPr>
          <w:rFonts w:ascii="Open Sans" w:hAnsi="Open Sans" w:cs="Open Sans"/>
          <w:lang w:val="fr-BE"/>
        </w:rPr>
        <w:t>’avec</w:t>
      </w:r>
      <w:r w:rsidR="00147BD8" w:rsidRPr="00B12AD0">
        <w:rPr>
          <w:rFonts w:ascii="Open Sans" w:hAnsi="Open Sans" w:cs="Open Sans"/>
          <w:lang w:val="fr-BE"/>
        </w:rPr>
        <w:t xml:space="preserve"> l’accord préalable du travailleur</w:t>
      </w:r>
      <w:r w:rsidR="00107AE9">
        <w:rPr>
          <w:rFonts w:ascii="Open Sans" w:hAnsi="Open Sans" w:cs="Open Sans"/>
          <w:lang w:val="fr-BE"/>
        </w:rPr>
        <w:t>) : …………………………………………………………………</w:t>
      </w:r>
      <w:r w:rsidR="00E1363C">
        <w:rPr>
          <w:rFonts w:ascii="Open Sans" w:hAnsi="Open Sans" w:cs="Open Sans"/>
          <w:lang w:val="fr-BE"/>
        </w:rPr>
        <w:t>…</w:t>
      </w:r>
      <w:r w:rsidR="008F3230">
        <w:rPr>
          <w:rFonts w:ascii="Open Sans" w:hAnsi="Open Sans" w:cs="Open Sans"/>
          <w:lang w:val="fr-BE"/>
        </w:rPr>
        <w:t>…………..</w:t>
      </w:r>
    </w:p>
    <w:p w14:paraId="572326DE" w14:textId="78A97566" w:rsidR="00010CCB" w:rsidRDefault="00010CCB" w:rsidP="00B12AD0">
      <w:pPr>
        <w:pStyle w:val="Paragraphedeliste"/>
        <w:numPr>
          <w:ilvl w:val="0"/>
          <w:numId w:val="4"/>
        </w:numPr>
        <w:jc w:val="both"/>
        <w:rPr>
          <w:rFonts w:ascii="Open Sans" w:hAnsi="Open Sans" w:cs="Open Sans"/>
          <w:lang w:val="fr-BE"/>
        </w:rPr>
      </w:pPr>
      <w:r>
        <w:rPr>
          <w:rFonts w:ascii="Open Sans" w:hAnsi="Open Sans" w:cs="Open Sans"/>
          <w:lang w:val="fr-BE"/>
        </w:rPr>
        <w:t xml:space="preserve">Fréquence de contact souhaitée : </w:t>
      </w:r>
      <w:r w:rsidR="000C4689">
        <w:rPr>
          <w:rFonts w:ascii="Open Sans" w:hAnsi="Open Sans" w:cs="Open Sans"/>
          <w:lang w:val="fr-BE"/>
        </w:rPr>
        <w:t>……………………………………………………………………</w:t>
      </w:r>
    </w:p>
    <w:p w14:paraId="0AE57D58" w14:textId="208CEA68" w:rsidR="00116C33" w:rsidRDefault="00116C33" w:rsidP="00B12AD0">
      <w:pPr>
        <w:jc w:val="both"/>
        <w:rPr>
          <w:rFonts w:ascii="Open Sans" w:hAnsi="Open Sans" w:cs="Open Sans"/>
          <w:lang w:val="fr-BE"/>
        </w:rPr>
      </w:pPr>
      <w:r>
        <w:rPr>
          <w:rFonts w:ascii="Open Sans" w:hAnsi="Open Sans" w:cs="Open Sans"/>
          <w:lang w:val="fr-BE"/>
        </w:rPr>
        <w:t>Le travailleur dispose d’un délai de deux semaines pour communiquer à l’employeur son formulaire complété</w:t>
      </w:r>
      <w:r w:rsidR="00C70819">
        <w:rPr>
          <w:rFonts w:ascii="Open Sans" w:hAnsi="Open Sans" w:cs="Open Sans"/>
          <w:lang w:val="fr-BE"/>
        </w:rPr>
        <w:t>.</w:t>
      </w:r>
      <w:r w:rsidR="003654FB">
        <w:rPr>
          <w:rFonts w:ascii="Open Sans" w:hAnsi="Open Sans" w:cs="Open Sans"/>
          <w:lang w:val="fr-BE"/>
        </w:rPr>
        <w:t xml:space="preserve"> Aucune sanction ne peut être appliquée en cas d</w:t>
      </w:r>
      <w:r w:rsidR="00D64257">
        <w:rPr>
          <w:rFonts w:ascii="Open Sans" w:hAnsi="Open Sans" w:cs="Open Sans"/>
          <w:lang w:val="fr-BE"/>
        </w:rPr>
        <w:t>e non-renvoi du formulaire par le travailleur en incapacité de travail.</w:t>
      </w:r>
      <w:r>
        <w:rPr>
          <w:rFonts w:ascii="Open Sans" w:hAnsi="Open Sans" w:cs="Open Sans"/>
          <w:lang w:val="fr-BE"/>
        </w:rPr>
        <w:t xml:space="preserve"> </w:t>
      </w:r>
    </w:p>
    <w:p w14:paraId="6E0BED3B" w14:textId="4894AE09" w:rsidR="004A65BB" w:rsidRPr="00B12AD0" w:rsidRDefault="004A65BB" w:rsidP="00B12AD0">
      <w:pPr>
        <w:jc w:val="both"/>
        <w:rPr>
          <w:rFonts w:ascii="Open Sans" w:hAnsi="Open Sans" w:cs="Open Sans"/>
          <w:lang w:val="fr-BE"/>
        </w:rPr>
      </w:pPr>
      <w:r>
        <w:rPr>
          <w:rFonts w:ascii="Open Sans" w:hAnsi="Open Sans" w:cs="Open Sans"/>
          <w:lang w:val="fr-BE"/>
        </w:rPr>
        <w:t>Le</w:t>
      </w:r>
      <w:r w:rsidR="00B12AD0">
        <w:rPr>
          <w:rFonts w:ascii="Open Sans" w:hAnsi="Open Sans" w:cs="Open Sans"/>
          <w:lang w:val="fr-BE"/>
        </w:rPr>
        <w:t>s</w:t>
      </w:r>
      <w:r>
        <w:rPr>
          <w:rFonts w:ascii="Open Sans" w:hAnsi="Open Sans" w:cs="Open Sans"/>
          <w:lang w:val="fr-BE"/>
        </w:rPr>
        <w:t xml:space="preserve"> informations renseignées dans ce formulaire</w:t>
      </w:r>
      <w:r w:rsidR="008F3230">
        <w:rPr>
          <w:rFonts w:ascii="Open Sans" w:hAnsi="Open Sans" w:cs="Open Sans"/>
          <w:lang w:val="fr-BE"/>
        </w:rPr>
        <w:t xml:space="preserve"> peuvent </w:t>
      </w:r>
      <w:r>
        <w:rPr>
          <w:rFonts w:ascii="Open Sans" w:hAnsi="Open Sans" w:cs="Open Sans"/>
          <w:lang w:val="fr-BE"/>
        </w:rPr>
        <w:t>être adaptées en fonction des demandes et besoins du travailleur en incapacité de travail.</w:t>
      </w:r>
    </w:p>
    <w:p w14:paraId="7E02FB6B" w14:textId="77777777" w:rsidR="00E57129" w:rsidRPr="00B12AD0" w:rsidRDefault="00E57129" w:rsidP="00B12AD0">
      <w:pPr>
        <w:jc w:val="both"/>
        <w:rPr>
          <w:rFonts w:ascii="Open Sans" w:hAnsi="Open Sans" w:cs="Open Sans"/>
          <w:lang w:val="fr-BE"/>
        </w:rPr>
      </w:pPr>
    </w:p>
    <w:p w14:paraId="45CC8B4A" w14:textId="4AF12130" w:rsidR="00601812" w:rsidRPr="00B12AD0" w:rsidRDefault="00DA3681" w:rsidP="00B12AD0">
      <w:pPr>
        <w:pStyle w:val="Paragraphedeliste"/>
        <w:numPr>
          <w:ilvl w:val="0"/>
          <w:numId w:val="2"/>
        </w:numPr>
        <w:jc w:val="both"/>
        <w:rPr>
          <w:rFonts w:ascii="Open Sans" w:hAnsi="Open Sans" w:cs="Open Sans"/>
          <w:lang w:val="fr-BE"/>
        </w:rPr>
      </w:pPr>
      <w:r>
        <w:rPr>
          <w:rFonts w:ascii="Open Sans" w:hAnsi="Open Sans" w:cs="Open Sans"/>
          <w:lang w:val="fr-BE"/>
        </w:rPr>
        <w:t>Personne de contact</w:t>
      </w:r>
    </w:p>
    <w:p w14:paraId="50445777" w14:textId="70FA83A1" w:rsidR="0097230E" w:rsidRDefault="00DA3681" w:rsidP="00B12AD0">
      <w:pPr>
        <w:jc w:val="both"/>
        <w:rPr>
          <w:rFonts w:ascii="Open Sans" w:hAnsi="Open Sans" w:cs="Open Sans"/>
          <w:lang w:val="fr-BE"/>
        </w:rPr>
      </w:pPr>
      <w:r>
        <w:rPr>
          <w:rFonts w:ascii="Open Sans" w:hAnsi="Open Sans" w:cs="Open Sans"/>
          <w:lang w:val="fr-BE"/>
        </w:rPr>
        <w:t>Le</w:t>
      </w:r>
      <w:r w:rsidR="00E57129">
        <w:rPr>
          <w:rFonts w:ascii="Open Sans" w:hAnsi="Open Sans" w:cs="Open Sans"/>
          <w:lang w:val="fr-BE"/>
        </w:rPr>
        <w:t xml:space="preserve"> </w:t>
      </w:r>
      <w:r>
        <w:rPr>
          <w:rFonts w:ascii="Open Sans" w:hAnsi="Open Sans" w:cs="Open Sans"/>
          <w:lang w:val="fr-BE"/>
        </w:rPr>
        <w:t xml:space="preserve">contact </w:t>
      </w:r>
      <w:r w:rsidR="00E57129">
        <w:rPr>
          <w:rFonts w:ascii="Open Sans" w:hAnsi="Open Sans" w:cs="Open Sans"/>
          <w:lang w:val="fr-BE"/>
        </w:rPr>
        <w:t>est</w:t>
      </w:r>
      <w:r>
        <w:rPr>
          <w:rFonts w:ascii="Open Sans" w:hAnsi="Open Sans" w:cs="Open Sans"/>
          <w:lang w:val="fr-BE"/>
        </w:rPr>
        <w:t xml:space="preserve"> assuré par </w:t>
      </w:r>
      <w:r w:rsidR="00E57129">
        <w:rPr>
          <w:rFonts w:ascii="Open Sans" w:hAnsi="Open Sans" w:cs="Open Sans"/>
          <w:lang w:val="fr-BE"/>
        </w:rPr>
        <w:t xml:space="preserve">la ou les personne(s) désignée(s) par le travailleur </w:t>
      </w:r>
      <w:r w:rsidR="006048C1">
        <w:rPr>
          <w:rFonts w:ascii="Open Sans" w:hAnsi="Open Sans" w:cs="Open Sans"/>
          <w:lang w:val="fr-BE"/>
        </w:rPr>
        <w:t xml:space="preserve">en incapacité de travail </w:t>
      </w:r>
      <w:r w:rsidR="00E57129">
        <w:rPr>
          <w:rFonts w:ascii="Open Sans" w:hAnsi="Open Sans" w:cs="Open Sans"/>
          <w:lang w:val="fr-BE"/>
        </w:rPr>
        <w:t xml:space="preserve">dans le </w:t>
      </w:r>
      <w:r w:rsidR="000320A0">
        <w:rPr>
          <w:rFonts w:ascii="Open Sans" w:hAnsi="Open Sans" w:cs="Open Sans"/>
          <w:lang w:val="fr-BE"/>
        </w:rPr>
        <w:t>« </w:t>
      </w:r>
      <w:r w:rsidR="00E57129">
        <w:rPr>
          <w:rFonts w:ascii="Open Sans" w:hAnsi="Open Sans" w:cs="Open Sans"/>
          <w:lang w:val="fr-BE"/>
        </w:rPr>
        <w:t xml:space="preserve">formulaire de </w:t>
      </w:r>
      <w:r w:rsidR="0097230E">
        <w:rPr>
          <w:rFonts w:ascii="Open Sans" w:hAnsi="Open Sans" w:cs="Open Sans"/>
          <w:lang w:val="fr-BE"/>
        </w:rPr>
        <w:t xml:space="preserve">premier contact ». </w:t>
      </w:r>
      <w:r w:rsidR="006048C1">
        <w:rPr>
          <w:rFonts w:ascii="Open Sans" w:hAnsi="Open Sans" w:cs="Open Sans"/>
          <w:lang w:val="fr-BE"/>
        </w:rPr>
        <w:t xml:space="preserve">Ce dernier peut demander de changer de personnes de contact à tout moment. </w:t>
      </w:r>
    </w:p>
    <w:p w14:paraId="1D09F950" w14:textId="317CC488" w:rsidR="00DA3681" w:rsidRPr="009058F0" w:rsidRDefault="0097230E" w:rsidP="009058F0">
      <w:pPr>
        <w:jc w:val="both"/>
        <w:rPr>
          <w:rFonts w:ascii="Open Sans" w:hAnsi="Open Sans" w:cs="Open Sans"/>
          <w:lang w:val="fr-BE"/>
        </w:rPr>
      </w:pPr>
      <w:r>
        <w:rPr>
          <w:rFonts w:ascii="Open Sans" w:hAnsi="Open Sans" w:cs="Open Sans"/>
          <w:lang w:val="fr-BE"/>
        </w:rPr>
        <w:lastRenderedPageBreak/>
        <w:t xml:space="preserve">Dans le cas où le travailleur </w:t>
      </w:r>
      <w:r w:rsidR="003240B6">
        <w:rPr>
          <w:rFonts w:ascii="Open Sans" w:hAnsi="Open Sans" w:cs="Open Sans"/>
          <w:lang w:val="fr-BE"/>
        </w:rPr>
        <w:t xml:space="preserve">en incapacité de travail </w:t>
      </w:r>
      <w:r>
        <w:rPr>
          <w:rFonts w:ascii="Open Sans" w:hAnsi="Open Sans" w:cs="Open Sans"/>
          <w:lang w:val="fr-BE"/>
        </w:rPr>
        <w:t>n’a pas communiqu</w:t>
      </w:r>
      <w:r w:rsidR="009058F0">
        <w:rPr>
          <w:rFonts w:ascii="Open Sans" w:hAnsi="Open Sans" w:cs="Open Sans"/>
          <w:lang w:val="fr-BE"/>
        </w:rPr>
        <w:t>é</w:t>
      </w:r>
      <w:r>
        <w:rPr>
          <w:rFonts w:ascii="Open Sans" w:hAnsi="Open Sans" w:cs="Open Sans"/>
          <w:lang w:val="fr-BE"/>
        </w:rPr>
        <w:t xml:space="preserve"> </w:t>
      </w:r>
      <w:r w:rsidR="006A536F">
        <w:rPr>
          <w:rFonts w:ascii="Open Sans" w:hAnsi="Open Sans" w:cs="Open Sans"/>
          <w:lang w:val="fr-BE"/>
        </w:rPr>
        <w:t>de nom de personne de contact, les contacts sont, par défaut, établi</w:t>
      </w:r>
      <w:r w:rsidR="00F11881">
        <w:rPr>
          <w:rFonts w:ascii="Open Sans" w:hAnsi="Open Sans" w:cs="Open Sans"/>
          <w:lang w:val="fr-BE"/>
        </w:rPr>
        <w:t>s</w:t>
      </w:r>
      <w:r w:rsidR="006A536F">
        <w:rPr>
          <w:rFonts w:ascii="Open Sans" w:hAnsi="Open Sans" w:cs="Open Sans"/>
          <w:lang w:val="fr-BE"/>
        </w:rPr>
        <w:t xml:space="preserve"> par …………………………………………</w:t>
      </w:r>
      <w:r w:rsidR="009058F0">
        <w:rPr>
          <w:rFonts w:ascii="Open Sans" w:hAnsi="Open Sans" w:cs="Open Sans"/>
          <w:lang w:val="fr-BE"/>
        </w:rPr>
        <w:t>………………………</w:t>
      </w:r>
      <w:r w:rsidR="003240B6">
        <w:rPr>
          <w:rFonts w:ascii="Open Sans" w:hAnsi="Open Sans" w:cs="Open Sans"/>
          <w:lang w:val="fr-BE"/>
        </w:rPr>
        <w:t>………………………………………………………………..</w:t>
      </w:r>
      <w:r w:rsidR="006A536F">
        <w:rPr>
          <w:rStyle w:val="Appelnotedebasdep"/>
          <w:rFonts w:ascii="Open Sans" w:hAnsi="Open Sans" w:cs="Open Sans"/>
          <w:lang w:val="fr-BE"/>
        </w:rPr>
        <w:footnoteReference w:id="4"/>
      </w:r>
    </w:p>
    <w:p w14:paraId="0A6A7F28" w14:textId="4A13EECC" w:rsidR="00DA3681" w:rsidRDefault="00DA3681" w:rsidP="00B12AD0">
      <w:pPr>
        <w:jc w:val="both"/>
        <w:rPr>
          <w:rFonts w:ascii="Open Sans" w:hAnsi="Open Sans" w:cs="Open Sans"/>
          <w:lang w:val="fr-BE"/>
        </w:rPr>
      </w:pPr>
      <w:r>
        <w:rPr>
          <w:rFonts w:ascii="Open Sans" w:hAnsi="Open Sans" w:cs="Open Sans"/>
          <w:lang w:val="fr-BE"/>
        </w:rPr>
        <w:t>La personne qui entr</w:t>
      </w:r>
      <w:r w:rsidR="00562E4D">
        <w:rPr>
          <w:rFonts w:ascii="Open Sans" w:hAnsi="Open Sans" w:cs="Open Sans"/>
          <w:lang w:val="fr-BE"/>
        </w:rPr>
        <w:t xml:space="preserve">e </w:t>
      </w:r>
      <w:r>
        <w:rPr>
          <w:rFonts w:ascii="Open Sans" w:hAnsi="Open Sans" w:cs="Open Sans"/>
          <w:lang w:val="fr-BE"/>
        </w:rPr>
        <w:t xml:space="preserve">en contact avec le travailleur en incapacité de travail </w:t>
      </w:r>
      <w:r w:rsidR="009609D8">
        <w:rPr>
          <w:rFonts w:ascii="Open Sans" w:hAnsi="Open Sans" w:cs="Open Sans"/>
          <w:lang w:val="fr-BE"/>
        </w:rPr>
        <w:t>doit marquer son accord</w:t>
      </w:r>
      <w:r w:rsidR="00A034C0">
        <w:rPr>
          <w:rFonts w:ascii="Open Sans" w:hAnsi="Open Sans" w:cs="Open Sans"/>
          <w:lang w:val="fr-BE"/>
        </w:rPr>
        <w:t xml:space="preserve">. Elle </w:t>
      </w:r>
      <w:r w:rsidR="00562E4D">
        <w:rPr>
          <w:rFonts w:ascii="Open Sans" w:hAnsi="Open Sans" w:cs="Open Sans"/>
          <w:lang w:val="fr-BE"/>
        </w:rPr>
        <w:t xml:space="preserve">est </w:t>
      </w:r>
      <w:r>
        <w:rPr>
          <w:rFonts w:ascii="Open Sans" w:hAnsi="Open Sans" w:cs="Open Sans"/>
          <w:lang w:val="fr-BE"/>
        </w:rPr>
        <w:t>préalablement informé</w:t>
      </w:r>
      <w:r w:rsidR="00F44227">
        <w:rPr>
          <w:rFonts w:ascii="Open Sans" w:hAnsi="Open Sans" w:cs="Open Sans"/>
          <w:lang w:val="fr-BE"/>
        </w:rPr>
        <w:t>e</w:t>
      </w:r>
      <w:r>
        <w:rPr>
          <w:rFonts w:ascii="Open Sans" w:hAnsi="Open Sans" w:cs="Open Sans"/>
          <w:lang w:val="fr-BE"/>
        </w:rPr>
        <w:t xml:space="preserve"> de ses droits et devoirs ainsi que des droits et devoirs du travailleur</w:t>
      </w:r>
      <w:r w:rsidR="00F44227">
        <w:rPr>
          <w:rFonts w:ascii="Open Sans" w:hAnsi="Open Sans" w:cs="Open Sans"/>
          <w:lang w:val="fr-BE"/>
        </w:rPr>
        <w:t xml:space="preserve"> dans le cadre de ces contacts</w:t>
      </w:r>
      <w:r>
        <w:rPr>
          <w:rFonts w:ascii="Open Sans" w:hAnsi="Open Sans" w:cs="Open Sans"/>
          <w:lang w:val="fr-BE"/>
        </w:rPr>
        <w:t xml:space="preserve">. </w:t>
      </w:r>
      <w:r w:rsidR="00CC5FEC">
        <w:rPr>
          <w:rFonts w:ascii="Open Sans" w:hAnsi="Open Sans" w:cs="Open Sans"/>
          <w:lang w:val="fr-BE"/>
        </w:rPr>
        <w:t>Elle</w:t>
      </w:r>
      <w:r w:rsidR="007B1CA0">
        <w:rPr>
          <w:rFonts w:ascii="Open Sans" w:hAnsi="Open Sans" w:cs="Open Sans"/>
          <w:lang w:val="fr-BE"/>
        </w:rPr>
        <w:t xml:space="preserve"> s’engage formellement à respecter la présente p</w:t>
      </w:r>
      <w:r w:rsidR="00712002">
        <w:rPr>
          <w:rFonts w:ascii="Open Sans" w:hAnsi="Open Sans" w:cs="Open Sans"/>
          <w:lang w:val="fr-BE"/>
        </w:rPr>
        <w:t>rocédure</w:t>
      </w:r>
      <w:r w:rsidR="007B1CA0">
        <w:rPr>
          <w:rFonts w:ascii="Open Sans" w:hAnsi="Open Sans" w:cs="Open Sans"/>
          <w:lang w:val="fr-BE"/>
        </w:rPr>
        <w:t xml:space="preserve"> de contact.</w:t>
      </w:r>
      <w:r w:rsidR="00A034C0">
        <w:rPr>
          <w:rFonts w:ascii="Open Sans" w:hAnsi="Open Sans" w:cs="Open Sans"/>
          <w:lang w:val="fr-BE"/>
        </w:rPr>
        <w:t xml:space="preserve"> En cas de besoin, elle peut faire une demande d’accompagnement </w:t>
      </w:r>
      <w:r w:rsidR="00164214">
        <w:rPr>
          <w:rFonts w:ascii="Open Sans" w:hAnsi="Open Sans" w:cs="Open Sans"/>
          <w:lang w:val="fr-BE"/>
        </w:rPr>
        <w:t xml:space="preserve">ou de soutien psychologique </w:t>
      </w:r>
      <w:r w:rsidR="00A034C0">
        <w:rPr>
          <w:rFonts w:ascii="Open Sans" w:hAnsi="Open Sans" w:cs="Open Sans"/>
          <w:lang w:val="fr-BE"/>
        </w:rPr>
        <w:t>afin d’assumer cette tâche.</w:t>
      </w:r>
    </w:p>
    <w:p w14:paraId="7E7DB45A" w14:textId="77777777" w:rsidR="00DA3681" w:rsidRDefault="00DA3681" w:rsidP="00B12AD0">
      <w:pPr>
        <w:jc w:val="both"/>
        <w:rPr>
          <w:rFonts w:ascii="Open Sans" w:hAnsi="Open Sans" w:cs="Open Sans"/>
          <w:lang w:val="fr-BE"/>
        </w:rPr>
      </w:pPr>
    </w:p>
    <w:p w14:paraId="4B963745" w14:textId="4D1BF064" w:rsidR="00DA3681" w:rsidRDefault="00DA3681" w:rsidP="00B12AD0">
      <w:pPr>
        <w:pStyle w:val="Paragraphedeliste"/>
        <w:numPr>
          <w:ilvl w:val="0"/>
          <w:numId w:val="2"/>
        </w:numPr>
        <w:jc w:val="both"/>
        <w:rPr>
          <w:rFonts w:ascii="Open Sans" w:hAnsi="Open Sans" w:cs="Open Sans"/>
          <w:lang w:val="fr-BE"/>
        </w:rPr>
      </w:pPr>
      <w:r>
        <w:rPr>
          <w:rFonts w:ascii="Open Sans" w:hAnsi="Open Sans" w:cs="Open Sans"/>
          <w:lang w:val="fr-BE"/>
        </w:rPr>
        <w:t>Disponibilité du travailleur en incapacité</w:t>
      </w:r>
    </w:p>
    <w:p w14:paraId="50AED5D2" w14:textId="337B7902" w:rsidR="00DA3681" w:rsidRDefault="00DA3681" w:rsidP="00B12AD0">
      <w:pPr>
        <w:jc w:val="both"/>
        <w:rPr>
          <w:rFonts w:ascii="Open Sans" w:hAnsi="Open Sans" w:cs="Open Sans"/>
          <w:lang w:val="fr-BE"/>
        </w:rPr>
      </w:pPr>
      <w:r>
        <w:rPr>
          <w:rFonts w:ascii="Open Sans" w:hAnsi="Open Sans" w:cs="Open Sans"/>
          <w:lang w:val="fr-BE"/>
        </w:rPr>
        <w:t>À tout moment, le travailleur peut</w:t>
      </w:r>
      <w:r w:rsidR="005A3D91">
        <w:rPr>
          <w:rFonts w:ascii="Open Sans" w:hAnsi="Open Sans" w:cs="Open Sans"/>
          <w:lang w:val="fr-BE"/>
        </w:rPr>
        <w:t>, sans encourir de représailles ou sanctions quelconques</w:t>
      </w:r>
      <w:r>
        <w:rPr>
          <w:rFonts w:ascii="Open Sans" w:hAnsi="Open Sans" w:cs="Open Sans"/>
          <w:lang w:val="fr-BE"/>
        </w:rPr>
        <w:t xml:space="preserve"> : </w:t>
      </w:r>
    </w:p>
    <w:p w14:paraId="310081FD" w14:textId="0D8A79CC" w:rsidR="00DA3681" w:rsidRDefault="00DA3681" w:rsidP="00B12AD0">
      <w:pPr>
        <w:pStyle w:val="Paragraphedeliste"/>
        <w:numPr>
          <w:ilvl w:val="0"/>
          <w:numId w:val="3"/>
        </w:numPr>
        <w:jc w:val="both"/>
        <w:rPr>
          <w:rFonts w:ascii="Open Sans" w:hAnsi="Open Sans" w:cs="Open Sans"/>
          <w:lang w:val="fr-BE"/>
        </w:rPr>
      </w:pPr>
      <w:r>
        <w:rPr>
          <w:rFonts w:ascii="Open Sans" w:hAnsi="Open Sans" w:cs="Open Sans"/>
          <w:lang w:val="fr-BE"/>
        </w:rPr>
        <w:t xml:space="preserve">Refuser un contact ; </w:t>
      </w:r>
    </w:p>
    <w:p w14:paraId="660D0DAF" w14:textId="6205997D" w:rsidR="00DA3681" w:rsidRDefault="00DA3681" w:rsidP="00B12AD0">
      <w:pPr>
        <w:pStyle w:val="Paragraphedeliste"/>
        <w:numPr>
          <w:ilvl w:val="0"/>
          <w:numId w:val="3"/>
        </w:numPr>
        <w:jc w:val="both"/>
        <w:rPr>
          <w:rFonts w:ascii="Open Sans" w:hAnsi="Open Sans" w:cs="Open Sans"/>
          <w:lang w:val="fr-BE"/>
        </w:rPr>
      </w:pPr>
      <w:r>
        <w:rPr>
          <w:rFonts w:ascii="Open Sans" w:hAnsi="Open Sans" w:cs="Open Sans"/>
          <w:lang w:val="fr-BE"/>
        </w:rPr>
        <w:t>Demander de changer de personne de contact</w:t>
      </w:r>
      <w:r w:rsidR="00F44227">
        <w:rPr>
          <w:rFonts w:ascii="Open Sans" w:hAnsi="Open Sans" w:cs="Open Sans"/>
          <w:lang w:val="fr-BE"/>
        </w:rPr>
        <w:t xml:space="preserve"> ; </w:t>
      </w:r>
    </w:p>
    <w:p w14:paraId="6A0F70FB" w14:textId="0AD5B106" w:rsidR="00F44227" w:rsidRDefault="00F44227" w:rsidP="00B12AD0">
      <w:pPr>
        <w:pStyle w:val="Paragraphedeliste"/>
        <w:numPr>
          <w:ilvl w:val="0"/>
          <w:numId w:val="3"/>
        </w:numPr>
        <w:jc w:val="both"/>
        <w:rPr>
          <w:rFonts w:ascii="Open Sans" w:hAnsi="Open Sans" w:cs="Open Sans"/>
          <w:lang w:val="fr-BE"/>
        </w:rPr>
      </w:pPr>
      <w:r>
        <w:rPr>
          <w:rFonts w:ascii="Open Sans" w:hAnsi="Open Sans" w:cs="Open Sans"/>
          <w:lang w:val="fr-BE"/>
        </w:rPr>
        <w:t xml:space="preserve">Demander une modification de la date </w:t>
      </w:r>
      <w:r w:rsidR="008265D5">
        <w:rPr>
          <w:rFonts w:ascii="Open Sans" w:hAnsi="Open Sans" w:cs="Open Sans"/>
          <w:lang w:val="fr-BE"/>
        </w:rPr>
        <w:t xml:space="preserve">ou de la fréquence </w:t>
      </w:r>
      <w:r>
        <w:rPr>
          <w:rFonts w:ascii="Open Sans" w:hAnsi="Open Sans" w:cs="Open Sans"/>
          <w:lang w:val="fr-BE"/>
        </w:rPr>
        <w:t>de contact prévue.</w:t>
      </w:r>
    </w:p>
    <w:p w14:paraId="70EBB5BD" w14:textId="5A2A5614" w:rsidR="00DA3681" w:rsidRDefault="00DA3681" w:rsidP="00B12AD0">
      <w:pPr>
        <w:jc w:val="both"/>
        <w:rPr>
          <w:rFonts w:ascii="Open Sans" w:hAnsi="Open Sans" w:cs="Open Sans"/>
          <w:lang w:val="fr-BE"/>
        </w:rPr>
      </w:pPr>
      <w:r>
        <w:rPr>
          <w:rFonts w:ascii="Open Sans" w:hAnsi="Open Sans" w:cs="Open Sans"/>
          <w:lang w:val="fr-BE"/>
        </w:rPr>
        <w:t>De même, le travailleur en incapacité peut demander à ce qu’un représentant des travailleurs assiste au</w:t>
      </w:r>
      <w:r w:rsidR="00F44227">
        <w:rPr>
          <w:rFonts w:ascii="Open Sans" w:hAnsi="Open Sans" w:cs="Open Sans"/>
          <w:lang w:val="fr-BE"/>
        </w:rPr>
        <w:t>(x) contact(s)</w:t>
      </w:r>
      <w:r>
        <w:rPr>
          <w:rFonts w:ascii="Open Sans" w:hAnsi="Open Sans" w:cs="Open Sans"/>
          <w:lang w:val="fr-BE"/>
        </w:rPr>
        <w:t>.</w:t>
      </w:r>
      <w:r w:rsidR="00E87932">
        <w:rPr>
          <w:rFonts w:ascii="Open Sans" w:hAnsi="Open Sans" w:cs="Open Sans"/>
          <w:lang w:val="fr-BE"/>
        </w:rPr>
        <w:t xml:space="preserve"> </w:t>
      </w:r>
    </w:p>
    <w:p w14:paraId="449862B4" w14:textId="295A5081" w:rsidR="00072529" w:rsidRDefault="00072529" w:rsidP="00B12AD0">
      <w:pPr>
        <w:jc w:val="both"/>
        <w:rPr>
          <w:rFonts w:ascii="Open Sans" w:hAnsi="Open Sans" w:cs="Open Sans"/>
          <w:lang w:val="fr-BE"/>
        </w:rPr>
      </w:pPr>
      <w:r>
        <w:rPr>
          <w:rFonts w:ascii="Open Sans" w:hAnsi="Open Sans" w:cs="Open Sans"/>
          <w:lang w:val="fr-BE"/>
        </w:rPr>
        <w:t xml:space="preserve">Les contacts </w:t>
      </w:r>
      <w:r w:rsidR="00E709E6">
        <w:rPr>
          <w:rFonts w:ascii="Open Sans" w:hAnsi="Open Sans" w:cs="Open Sans"/>
          <w:lang w:val="fr-BE"/>
        </w:rPr>
        <w:t>se feront uniquement à distance</w:t>
      </w:r>
      <w:r w:rsidR="00923389">
        <w:rPr>
          <w:rFonts w:ascii="Open Sans" w:hAnsi="Open Sans" w:cs="Open Sans"/>
          <w:lang w:val="fr-BE"/>
        </w:rPr>
        <w:t>, sauf demande</w:t>
      </w:r>
      <w:r w:rsidR="00521BF7">
        <w:rPr>
          <w:rFonts w:ascii="Open Sans" w:hAnsi="Open Sans" w:cs="Open Sans"/>
          <w:lang w:val="fr-BE"/>
        </w:rPr>
        <w:t xml:space="preserve"> contraire de la part du travailleur en incapacité de travail</w:t>
      </w:r>
      <w:r w:rsidR="00E709E6">
        <w:rPr>
          <w:rFonts w:ascii="Open Sans" w:hAnsi="Open Sans" w:cs="Open Sans"/>
          <w:lang w:val="fr-BE"/>
        </w:rPr>
        <w:t xml:space="preserve">. En aucun cas le travailleur </w:t>
      </w:r>
      <w:r w:rsidR="00521BF7">
        <w:rPr>
          <w:rFonts w:ascii="Open Sans" w:hAnsi="Open Sans" w:cs="Open Sans"/>
          <w:lang w:val="fr-BE"/>
        </w:rPr>
        <w:t xml:space="preserve">en incapacité de travail </w:t>
      </w:r>
      <w:r w:rsidR="00E709E6">
        <w:rPr>
          <w:rFonts w:ascii="Open Sans" w:hAnsi="Open Sans" w:cs="Open Sans"/>
          <w:lang w:val="fr-BE"/>
        </w:rPr>
        <w:t>n</w:t>
      </w:r>
      <w:r w:rsidR="006F410D">
        <w:rPr>
          <w:rFonts w:ascii="Open Sans" w:hAnsi="Open Sans" w:cs="Open Sans"/>
          <w:lang w:val="fr-BE"/>
        </w:rPr>
        <w:t>’est tenu de se déplacer lors de ces contacts.</w:t>
      </w:r>
    </w:p>
    <w:p w14:paraId="23C8CB98" w14:textId="256B8909" w:rsidR="00DA3681" w:rsidRDefault="00DA3681" w:rsidP="00B12AD0">
      <w:pPr>
        <w:jc w:val="both"/>
        <w:rPr>
          <w:rFonts w:ascii="Open Sans" w:hAnsi="Open Sans" w:cs="Open Sans"/>
          <w:lang w:val="fr-BE"/>
        </w:rPr>
      </w:pPr>
    </w:p>
    <w:p w14:paraId="0634294C" w14:textId="1A12148E" w:rsidR="00BA2C92" w:rsidRDefault="00BA2C92" w:rsidP="00B12AD0">
      <w:pPr>
        <w:pStyle w:val="Paragraphedeliste"/>
        <w:numPr>
          <w:ilvl w:val="0"/>
          <w:numId w:val="2"/>
        </w:numPr>
        <w:jc w:val="both"/>
        <w:rPr>
          <w:rFonts w:ascii="Open Sans" w:hAnsi="Open Sans" w:cs="Open Sans"/>
          <w:lang w:val="fr-BE"/>
        </w:rPr>
      </w:pPr>
      <w:r>
        <w:rPr>
          <w:rFonts w:ascii="Open Sans" w:hAnsi="Open Sans" w:cs="Open Sans"/>
          <w:lang w:val="fr-BE"/>
        </w:rPr>
        <w:t>Données médicales et vie privée</w:t>
      </w:r>
    </w:p>
    <w:p w14:paraId="41E674B9" w14:textId="1DD41142" w:rsidR="00BA2C92" w:rsidRDefault="00BA2C92" w:rsidP="00B12AD0">
      <w:pPr>
        <w:jc w:val="both"/>
        <w:rPr>
          <w:rFonts w:ascii="Open Sans" w:hAnsi="Open Sans" w:cs="Open Sans"/>
          <w:lang w:val="fr-BE"/>
        </w:rPr>
      </w:pPr>
      <w:r>
        <w:rPr>
          <w:rFonts w:ascii="Open Sans" w:hAnsi="Open Sans" w:cs="Open Sans"/>
          <w:lang w:val="fr-BE"/>
        </w:rPr>
        <w:t>Aucune information médicale ou relative à la santé ne sera demandée</w:t>
      </w:r>
      <w:r w:rsidR="00317056">
        <w:rPr>
          <w:rFonts w:ascii="Open Sans" w:hAnsi="Open Sans" w:cs="Open Sans"/>
          <w:lang w:val="fr-BE"/>
        </w:rPr>
        <w:t>.</w:t>
      </w:r>
    </w:p>
    <w:p w14:paraId="73307C5D" w14:textId="77777777" w:rsidR="00BA2C92" w:rsidRDefault="00BA2C92" w:rsidP="00B12AD0">
      <w:pPr>
        <w:jc w:val="both"/>
        <w:rPr>
          <w:rFonts w:ascii="Open Sans" w:hAnsi="Open Sans" w:cs="Open Sans"/>
          <w:lang w:val="fr-BE"/>
        </w:rPr>
      </w:pPr>
    </w:p>
    <w:p w14:paraId="3249DF25" w14:textId="1CFD909C" w:rsidR="00BA2C92" w:rsidRDefault="00BA2C92" w:rsidP="00B12AD0">
      <w:pPr>
        <w:pStyle w:val="Paragraphedeliste"/>
        <w:numPr>
          <w:ilvl w:val="0"/>
          <w:numId w:val="2"/>
        </w:numPr>
        <w:jc w:val="both"/>
        <w:rPr>
          <w:rFonts w:ascii="Open Sans" w:hAnsi="Open Sans" w:cs="Open Sans"/>
          <w:lang w:val="fr-BE"/>
        </w:rPr>
      </w:pPr>
      <w:r>
        <w:rPr>
          <w:rFonts w:ascii="Open Sans" w:hAnsi="Open Sans" w:cs="Open Sans"/>
          <w:lang w:val="fr-BE"/>
        </w:rPr>
        <w:lastRenderedPageBreak/>
        <w:t>Données de contact</w:t>
      </w:r>
    </w:p>
    <w:p w14:paraId="3C0CAF21" w14:textId="14877779" w:rsidR="00BA2C92" w:rsidRPr="00BA2C92" w:rsidRDefault="00BA2C92" w:rsidP="00B12AD0">
      <w:pPr>
        <w:jc w:val="both"/>
        <w:rPr>
          <w:rFonts w:ascii="Open Sans" w:hAnsi="Open Sans" w:cs="Open Sans"/>
          <w:lang w:val="fr-BE"/>
        </w:rPr>
      </w:pPr>
      <w:r>
        <w:rPr>
          <w:rFonts w:ascii="Open Sans" w:hAnsi="Open Sans" w:cs="Open Sans"/>
          <w:lang w:val="fr-BE"/>
        </w:rPr>
        <w:t xml:space="preserve">Le travailleur en incapacité fournit à l’employeur </w:t>
      </w:r>
      <w:r w:rsidR="00C855F2">
        <w:rPr>
          <w:rFonts w:ascii="Open Sans" w:hAnsi="Open Sans" w:cs="Open Sans"/>
          <w:lang w:val="fr-BE"/>
        </w:rPr>
        <w:t>le moyen</w:t>
      </w:r>
      <w:r>
        <w:rPr>
          <w:rFonts w:ascii="Open Sans" w:hAnsi="Open Sans" w:cs="Open Sans"/>
          <w:lang w:val="fr-BE"/>
        </w:rPr>
        <w:t xml:space="preserve"> de contact de son choix </w:t>
      </w:r>
      <w:r w:rsidR="0027271B">
        <w:rPr>
          <w:rFonts w:ascii="Open Sans" w:hAnsi="Open Sans" w:cs="Open Sans"/>
          <w:lang w:val="fr-BE"/>
        </w:rPr>
        <w:t>dans le « formulaire de premier contact »</w:t>
      </w:r>
      <w:r>
        <w:rPr>
          <w:rStyle w:val="Appelnotedebasdep"/>
          <w:rFonts w:ascii="Open Sans" w:hAnsi="Open Sans" w:cs="Open Sans"/>
          <w:lang w:val="fr-BE"/>
        </w:rPr>
        <w:footnoteReference w:id="5"/>
      </w:r>
      <w:r>
        <w:rPr>
          <w:rFonts w:ascii="Open Sans" w:hAnsi="Open Sans" w:cs="Open Sans"/>
          <w:lang w:val="fr-BE"/>
        </w:rPr>
        <w:t>.</w:t>
      </w:r>
      <w:r w:rsidR="0081137E">
        <w:rPr>
          <w:rFonts w:ascii="Open Sans" w:hAnsi="Open Sans" w:cs="Open Sans"/>
          <w:lang w:val="fr-BE"/>
        </w:rPr>
        <w:t xml:space="preserve"> Le moyen de contact peut être modifié à la demande du travailleur en incapacité de travail.</w:t>
      </w:r>
    </w:p>
    <w:p w14:paraId="593696CD" w14:textId="77777777" w:rsidR="00BA2C92" w:rsidRDefault="00BA2C92" w:rsidP="00B12AD0">
      <w:pPr>
        <w:jc w:val="both"/>
        <w:rPr>
          <w:rFonts w:ascii="Open Sans" w:hAnsi="Open Sans" w:cs="Open Sans"/>
          <w:lang w:val="fr-BE"/>
        </w:rPr>
      </w:pPr>
    </w:p>
    <w:p w14:paraId="07A88575" w14:textId="7DB1F5D8" w:rsidR="00711298" w:rsidRDefault="00711298" w:rsidP="00B12AD0">
      <w:pPr>
        <w:pStyle w:val="Paragraphedeliste"/>
        <w:numPr>
          <w:ilvl w:val="0"/>
          <w:numId w:val="2"/>
        </w:numPr>
        <w:jc w:val="both"/>
        <w:rPr>
          <w:rFonts w:ascii="Open Sans" w:hAnsi="Open Sans" w:cs="Open Sans"/>
          <w:lang w:val="fr-BE"/>
        </w:rPr>
      </w:pPr>
      <w:r>
        <w:rPr>
          <w:rFonts w:ascii="Open Sans" w:hAnsi="Open Sans" w:cs="Open Sans"/>
          <w:lang w:val="fr-BE"/>
        </w:rPr>
        <w:t>Evaluation de la procédure de contact</w:t>
      </w:r>
    </w:p>
    <w:p w14:paraId="1252FD4A" w14:textId="590BD027" w:rsidR="004C286B" w:rsidRDefault="00711298" w:rsidP="00B12AD0">
      <w:pPr>
        <w:jc w:val="both"/>
        <w:rPr>
          <w:rFonts w:ascii="Open Sans" w:hAnsi="Open Sans" w:cs="Open Sans"/>
          <w:lang w:val="fr-BE"/>
        </w:rPr>
      </w:pPr>
      <w:r>
        <w:rPr>
          <w:rFonts w:ascii="Open Sans" w:hAnsi="Open Sans" w:cs="Open Sans"/>
          <w:lang w:val="fr-BE"/>
        </w:rPr>
        <w:t>Au moins une fois par an, la présente procédure de contact est évaluée au conseil d’entreprise et</w:t>
      </w:r>
      <w:r w:rsidR="009F772A">
        <w:rPr>
          <w:rFonts w:ascii="Open Sans" w:hAnsi="Open Sans" w:cs="Open Sans"/>
          <w:lang w:val="fr-BE"/>
        </w:rPr>
        <w:t xml:space="preserve">, le cas échéant, adaptée moyennant </w:t>
      </w:r>
      <w:r w:rsidR="009253AE">
        <w:rPr>
          <w:rFonts w:ascii="Open Sans" w:hAnsi="Open Sans" w:cs="Open Sans"/>
          <w:lang w:val="fr-BE"/>
        </w:rPr>
        <w:t>l’</w:t>
      </w:r>
      <w:r w:rsidR="009F772A">
        <w:rPr>
          <w:rFonts w:ascii="Open Sans" w:hAnsi="Open Sans" w:cs="Open Sans"/>
          <w:lang w:val="fr-BE"/>
        </w:rPr>
        <w:t xml:space="preserve">accord du conseil d’entreprise. </w:t>
      </w:r>
      <w:r w:rsidR="00005B17">
        <w:rPr>
          <w:rFonts w:ascii="Open Sans" w:hAnsi="Open Sans" w:cs="Open Sans"/>
          <w:lang w:val="fr-BE"/>
        </w:rPr>
        <w:t xml:space="preserve">Cette évaluation est également incluse lors de l’évaluation de la politique de réintégration </w:t>
      </w:r>
      <w:r w:rsidR="0061760B">
        <w:rPr>
          <w:rFonts w:ascii="Open Sans" w:hAnsi="Open Sans" w:cs="Open Sans"/>
          <w:lang w:val="fr-BE"/>
        </w:rPr>
        <w:t xml:space="preserve">de l’entreprise </w:t>
      </w:r>
      <w:r w:rsidR="00005B17">
        <w:rPr>
          <w:rFonts w:ascii="Open Sans" w:hAnsi="Open Sans" w:cs="Open Sans"/>
          <w:lang w:val="fr-BE"/>
        </w:rPr>
        <w:t>au Comité PPT</w:t>
      </w:r>
      <w:r w:rsidR="0061760B">
        <w:rPr>
          <w:rFonts w:ascii="Open Sans" w:hAnsi="Open Sans" w:cs="Open Sans"/>
          <w:lang w:val="fr-BE"/>
        </w:rPr>
        <w:t>.</w:t>
      </w:r>
    </w:p>
    <w:p w14:paraId="1467948E" w14:textId="77777777" w:rsidR="0022370D" w:rsidRPr="00CA6CAF" w:rsidRDefault="0022370D" w:rsidP="00B12AD0">
      <w:pPr>
        <w:jc w:val="both"/>
        <w:rPr>
          <w:rFonts w:ascii="Open Sans" w:hAnsi="Open Sans" w:cs="Open Sans"/>
          <w:lang w:val="fr-BE"/>
        </w:rPr>
      </w:pPr>
    </w:p>
    <w:sectPr w:rsidR="0022370D" w:rsidRPr="00CA6C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17C3" w14:textId="77777777" w:rsidR="00CE34E0" w:rsidRDefault="00CE34E0" w:rsidP="00CA6CAF">
      <w:pPr>
        <w:spacing w:after="0" w:line="240" w:lineRule="auto"/>
      </w:pPr>
      <w:r>
        <w:separator/>
      </w:r>
    </w:p>
  </w:endnote>
  <w:endnote w:type="continuationSeparator" w:id="0">
    <w:p w14:paraId="53F07484" w14:textId="77777777" w:rsidR="00CE34E0" w:rsidRDefault="00CE34E0" w:rsidP="00CA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1F77" w14:textId="77777777" w:rsidR="00CE34E0" w:rsidRDefault="00CE34E0" w:rsidP="00CA6CAF">
      <w:pPr>
        <w:spacing w:after="0" w:line="240" w:lineRule="auto"/>
      </w:pPr>
      <w:r>
        <w:separator/>
      </w:r>
    </w:p>
  </w:footnote>
  <w:footnote w:type="continuationSeparator" w:id="0">
    <w:p w14:paraId="02113745" w14:textId="77777777" w:rsidR="00CE34E0" w:rsidRDefault="00CE34E0" w:rsidP="00CA6CAF">
      <w:pPr>
        <w:spacing w:after="0" w:line="240" w:lineRule="auto"/>
      </w:pPr>
      <w:r>
        <w:continuationSeparator/>
      </w:r>
    </w:p>
  </w:footnote>
  <w:footnote w:id="1">
    <w:p w14:paraId="12C8F024" w14:textId="093426C8" w:rsidR="00B60FDC" w:rsidRPr="00B60FDC" w:rsidRDefault="00B60FDC">
      <w:pPr>
        <w:pStyle w:val="Notedebasdepage"/>
        <w:rPr>
          <w:lang w:val="fr-BE"/>
        </w:rPr>
      </w:pPr>
      <w:r w:rsidRPr="00311417">
        <w:rPr>
          <w:rStyle w:val="Appelnotedebasdep"/>
          <w:color w:val="00B050"/>
        </w:rPr>
        <w:footnoteRef/>
      </w:r>
      <w:r w:rsidRPr="00311417">
        <w:rPr>
          <w:color w:val="00B050"/>
          <w:lang w:val="fr-BE"/>
        </w:rPr>
        <w:t xml:space="preserve"> </w:t>
      </w:r>
      <w:r w:rsidR="00F44227" w:rsidRPr="00311417">
        <w:rPr>
          <w:color w:val="00B050"/>
          <w:lang w:val="fr-BE"/>
        </w:rPr>
        <w:t>Conseil : u</w:t>
      </w:r>
      <w:r w:rsidRPr="00311417">
        <w:rPr>
          <w:color w:val="00B050"/>
          <w:lang w:val="fr-BE"/>
        </w:rPr>
        <w:t>n « canevas-type » pourrait être élaboré en concertation avec les représentants des travailleurs afin de baliser au mieux ce(s) contact(s).</w:t>
      </w:r>
    </w:p>
  </w:footnote>
  <w:footnote w:id="2">
    <w:p w14:paraId="5F6E7CE1" w14:textId="2925396E" w:rsidR="00FC62E6" w:rsidRPr="00311417" w:rsidRDefault="00FC62E6">
      <w:pPr>
        <w:pStyle w:val="Notedebasdepage"/>
        <w:rPr>
          <w:color w:val="00B050"/>
          <w:lang w:val="fr-BE"/>
        </w:rPr>
      </w:pPr>
      <w:r w:rsidRPr="00311417">
        <w:rPr>
          <w:rStyle w:val="Appelnotedebasdep"/>
          <w:color w:val="00B050"/>
        </w:rPr>
        <w:footnoteRef/>
      </w:r>
      <w:r w:rsidRPr="00311417">
        <w:rPr>
          <w:color w:val="00B050"/>
          <w:lang w:val="fr-BE"/>
        </w:rPr>
        <w:t xml:space="preserve"> </w:t>
      </w:r>
      <w:r w:rsidR="003A2CC1" w:rsidRPr="00311417">
        <w:rPr>
          <w:color w:val="00B050"/>
          <w:lang w:val="fr-BE"/>
        </w:rPr>
        <w:t>Courrier postal, email, appel téléphonique…</w:t>
      </w:r>
    </w:p>
  </w:footnote>
  <w:footnote w:id="3">
    <w:p w14:paraId="58688E84" w14:textId="04C072F2" w:rsidR="00A11D72" w:rsidRPr="00B12AD0" w:rsidRDefault="00A11D72">
      <w:pPr>
        <w:pStyle w:val="Notedebasdepage"/>
        <w:rPr>
          <w:lang w:val="fr-BE"/>
        </w:rPr>
      </w:pPr>
      <w:r w:rsidRPr="00311417">
        <w:rPr>
          <w:rStyle w:val="Appelnotedebasdep"/>
          <w:color w:val="00B050"/>
        </w:rPr>
        <w:footnoteRef/>
      </w:r>
      <w:r w:rsidRPr="00311417">
        <w:rPr>
          <w:color w:val="00B050"/>
          <w:lang w:val="fr-BE"/>
        </w:rPr>
        <w:t xml:space="preserve"> Le travailleur renseigne ici </w:t>
      </w:r>
      <w:proofErr w:type="spellStart"/>
      <w:r w:rsidRPr="00311417">
        <w:rPr>
          <w:color w:val="00B050"/>
          <w:lang w:val="fr-BE"/>
        </w:rPr>
        <w:t>la</w:t>
      </w:r>
      <w:proofErr w:type="spellEnd"/>
      <w:r w:rsidRPr="00311417">
        <w:rPr>
          <w:color w:val="00B050"/>
          <w:lang w:val="fr-BE"/>
        </w:rPr>
        <w:t xml:space="preserve"> ou les personnes de l’entreprise avec qui il souhaite être mis en contact</w:t>
      </w:r>
      <w:r w:rsidR="00FF52A8">
        <w:rPr>
          <w:color w:val="00B050"/>
          <w:lang w:val="fr-BE"/>
        </w:rPr>
        <w:t>.</w:t>
      </w:r>
    </w:p>
  </w:footnote>
  <w:footnote w:id="4">
    <w:p w14:paraId="10D2740A" w14:textId="08CF206F" w:rsidR="006A536F" w:rsidRPr="00B12AD0" w:rsidRDefault="006A536F">
      <w:pPr>
        <w:pStyle w:val="Notedebasdepage"/>
        <w:rPr>
          <w:lang w:val="fr-BE"/>
        </w:rPr>
      </w:pPr>
      <w:r w:rsidRPr="00311417">
        <w:rPr>
          <w:rStyle w:val="Appelnotedebasdep"/>
          <w:color w:val="00B050"/>
        </w:rPr>
        <w:footnoteRef/>
      </w:r>
      <w:r w:rsidRPr="00311417">
        <w:rPr>
          <w:color w:val="00B050"/>
          <w:lang w:val="fr-BE"/>
        </w:rPr>
        <w:t xml:space="preserve"> </w:t>
      </w:r>
      <w:r w:rsidR="00211CD3" w:rsidRPr="00311417">
        <w:rPr>
          <w:color w:val="00B050"/>
          <w:lang w:val="fr-BE"/>
        </w:rPr>
        <w:t>Nom et/ou fonction de la personne de contact par défaut.</w:t>
      </w:r>
      <w:r w:rsidR="001F7976">
        <w:rPr>
          <w:color w:val="00B050"/>
          <w:lang w:val="fr-BE"/>
        </w:rPr>
        <w:t xml:space="preserve"> Nous conseillons de choisir le profil le plus neutre possible.</w:t>
      </w:r>
      <w:r w:rsidR="00211CD3" w:rsidRPr="00311417">
        <w:rPr>
          <w:color w:val="00B050"/>
          <w:lang w:val="fr-BE"/>
        </w:rPr>
        <w:t xml:space="preserve"> Cela peut être par exemple u</w:t>
      </w:r>
      <w:r w:rsidR="00535761" w:rsidRPr="00311417">
        <w:rPr>
          <w:color w:val="00B050"/>
          <w:lang w:val="fr-BE"/>
        </w:rPr>
        <w:t>n collaborateur</w:t>
      </w:r>
      <w:r w:rsidR="00211CD3" w:rsidRPr="00311417">
        <w:rPr>
          <w:color w:val="00B050"/>
          <w:lang w:val="fr-BE"/>
        </w:rPr>
        <w:t xml:space="preserve"> du service RH, le conseiller en prévention interne, la personne de confianc</w:t>
      </w:r>
      <w:r w:rsidR="00535761" w:rsidRPr="00311417">
        <w:rPr>
          <w:color w:val="00B050"/>
          <w:lang w:val="fr-BE"/>
        </w:rPr>
        <w:t>e, un représentant des travailleurs… Nous conseillons d’éviter de désigner le N+1 comme personne de contact dans la mesure o</w:t>
      </w:r>
      <w:r w:rsidR="00562E4D" w:rsidRPr="00311417">
        <w:rPr>
          <w:color w:val="00B050"/>
          <w:lang w:val="fr-BE"/>
        </w:rPr>
        <w:t>ù le motif de l’absence peut être lié à cette personne (par exemple en cas de burnout).</w:t>
      </w:r>
    </w:p>
  </w:footnote>
  <w:footnote w:id="5">
    <w:p w14:paraId="4D920B54" w14:textId="2BC0AE26" w:rsidR="00BA2C92" w:rsidRPr="00311417" w:rsidRDefault="00BA2C92">
      <w:pPr>
        <w:pStyle w:val="Notedebasdepage"/>
        <w:rPr>
          <w:color w:val="00B050"/>
          <w:lang w:val="fr-BE"/>
        </w:rPr>
      </w:pPr>
      <w:r w:rsidRPr="00311417">
        <w:rPr>
          <w:rStyle w:val="Appelnotedebasdep"/>
          <w:color w:val="00B050"/>
        </w:rPr>
        <w:footnoteRef/>
      </w:r>
      <w:r w:rsidRPr="00311417">
        <w:rPr>
          <w:color w:val="00B050"/>
          <w:lang w:val="fr-BE"/>
        </w:rPr>
        <w:t xml:space="preserve"> </w:t>
      </w:r>
      <w:r w:rsidR="00F44227" w:rsidRPr="00311417">
        <w:rPr>
          <w:color w:val="00B050"/>
          <w:lang w:val="fr-BE"/>
        </w:rPr>
        <w:t>La loi ne contraint pas strictement le travailleur à transmettre des données de contact privées à l’employeur… mais elle contraint l’employeur a resté en contact avec son/ses travailleur(s) malade(s). Nous conseillons donc de régler la question collectivement</w:t>
      </w:r>
      <w:r w:rsidR="00AA5A62" w:rsidRPr="00311417">
        <w:rPr>
          <w:color w:val="00B050"/>
          <w:lang w:val="fr-BE"/>
        </w:rPr>
        <w:t xml:space="preserve"> en </w:t>
      </w:r>
      <w:r w:rsidRPr="00311417">
        <w:rPr>
          <w:color w:val="00B050"/>
          <w:lang w:val="fr-BE"/>
        </w:rPr>
        <w:t>demand</w:t>
      </w:r>
      <w:r w:rsidR="00AA5A62" w:rsidRPr="00311417">
        <w:rPr>
          <w:color w:val="00B050"/>
          <w:lang w:val="fr-BE"/>
        </w:rPr>
        <w:t xml:space="preserve">ant </w:t>
      </w:r>
      <w:r w:rsidR="007124AA" w:rsidRPr="00311417">
        <w:rPr>
          <w:color w:val="00B050"/>
          <w:lang w:val="fr-BE"/>
        </w:rPr>
        <w:t>à chaque</w:t>
      </w:r>
      <w:r w:rsidR="00AA5A62" w:rsidRPr="00311417">
        <w:rPr>
          <w:color w:val="00B050"/>
          <w:lang w:val="fr-BE"/>
        </w:rPr>
        <w:t xml:space="preserve"> travailleur en incapacité</w:t>
      </w:r>
      <w:r w:rsidRPr="00311417">
        <w:rPr>
          <w:color w:val="00B050"/>
          <w:lang w:val="fr-BE"/>
        </w:rPr>
        <w:t xml:space="preserve"> de renseigner ces informations </w:t>
      </w:r>
      <w:r w:rsidR="00F44227" w:rsidRPr="00311417">
        <w:rPr>
          <w:color w:val="00B050"/>
          <w:lang w:val="fr-BE"/>
        </w:rPr>
        <w:t xml:space="preserve">de contact </w:t>
      </w:r>
      <w:r w:rsidR="00B342D3" w:rsidRPr="00311417">
        <w:rPr>
          <w:color w:val="00B050"/>
          <w:lang w:val="fr-BE"/>
        </w:rPr>
        <w:t>dans le « formulaire de premier contact ».</w:t>
      </w:r>
    </w:p>
    <w:p w14:paraId="14E6BFF5" w14:textId="2C74DB94" w:rsidR="00BA2C92" w:rsidRPr="00BA2C92" w:rsidRDefault="00BA2C92">
      <w:pPr>
        <w:pStyle w:val="Notedebasdepage"/>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000"/>
    <w:multiLevelType w:val="hybridMultilevel"/>
    <w:tmpl w:val="A7B417FE"/>
    <w:lvl w:ilvl="0" w:tplc="496651E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D0067D"/>
    <w:multiLevelType w:val="hybridMultilevel"/>
    <w:tmpl w:val="D0725B9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BE01A4"/>
    <w:multiLevelType w:val="hybridMultilevel"/>
    <w:tmpl w:val="6BB69C02"/>
    <w:lvl w:ilvl="0" w:tplc="9C34DD40">
      <w:start w:val="3"/>
      <w:numFmt w:val="bullet"/>
      <w:lvlText w:val="-"/>
      <w:lvlJc w:val="left"/>
      <w:pPr>
        <w:ind w:left="720" w:hanging="360"/>
      </w:pPr>
      <w:rPr>
        <w:rFonts w:ascii="Open Sans" w:eastAsiaTheme="minorHAnsi"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1F3579E"/>
    <w:multiLevelType w:val="hybridMultilevel"/>
    <w:tmpl w:val="6CEE8594"/>
    <w:lvl w:ilvl="0" w:tplc="BFD87AB2">
      <w:start w:val="3"/>
      <w:numFmt w:val="bullet"/>
      <w:lvlText w:val="-"/>
      <w:lvlJc w:val="left"/>
      <w:pPr>
        <w:ind w:left="720" w:hanging="360"/>
      </w:pPr>
      <w:rPr>
        <w:rFonts w:ascii="Open Sans" w:eastAsiaTheme="minorHAnsi"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66886777">
    <w:abstractNumId w:val="0"/>
  </w:num>
  <w:num w:numId="2" w16cid:durableId="382992386">
    <w:abstractNumId w:val="1"/>
  </w:num>
  <w:num w:numId="3" w16cid:durableId="322322454">
    <w:abstractNumId w:val="2"/>
  </w:num>
  <w:num w:numId="4" w16cid:durableId="20684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AF"/>
    <w:rsid w:val="00005B17"/>
    <w:rsid w:val="00010CCB"/>
    <w:rsid w:val="000320A0"/>
    <w:rsid w:val="00072529"/>
    <w:rsid w:val="000C4689"/>
    <w:rsid w:val="000F0955"/>
    <w:rsid w:val="000F346E"/>
    <w:rsid w:val="00107AE9"/>
    <w:rsid w:val="00116C33"/>
    <w:rsid w:val="0014369D"/>
    <w:rsid w:val="00147BD8"/>
    <w:rsid w:val="00164214"/>
    <w:rsid w:val="00165955"/>
    <w:rsid w:val="001B022F"/>
    <w:rsid w:val="001F7976"/>
    <w:rsid w:val="0020294F"/>
    <w:rsid w:val="00211CD3"/>
    <w:rsid w:val="0022370D"/>
    <w:rsid w:val="00241A57"/>
    <w:rsid w:val="0027271B"/>
    <w:rsid w:val="00295EB3"/>
    <w:rsid w:val="002A6F87"/>
    <w:rsid w:val="002E43EC"/>
    <w:rsid w:val="002F3F20"/>
    <w:rsid w:val="00310E50"/>
    <w:rsid w:val="00311417"/>
    <w:rsid w:val="00317056"/>
    <w:rsid w:val="003240B6"/>
    <w:rsid w:val="003654FB"/>
    <w:rsid w:val="0037177B"/>
    <w:rsid w:val="00374CAA"/>
    <w:rsid w:val="0038572C"/>
    <w:rsid w:val="003A1717"/>
    <w:rsid w:val="003A2CC1"/>
    <w:rsid w:val="003F2DB4"/>
    <w:rsid w:val="0046058E"/>
    <w:rsid w:val="004A65BB"/>
    <w:rsid w:val="004C286B"/>
    <w:rsid w:val="004E2E29"/>
    <w:rsid w:val="004E7B40"/>
    <w:rsid w:val="005018FA"/>
    <w:rsid w:val="00514295"/>
    <w:rsid w:val="00517390"/>
    <w:rsid w:val="00521BF7"/>
    <w:rsid w:val="005253F3"/>
    <w:rsid w:val="00535761"/>
    <w:rsid w:val="00542B8C"/>
    <w:rsid w:val="00562E4D"/>
    <w:rsid w:val="005A3D91"/>
    <w:rsid w:val="005B538F"/>
    <w:rsid w:val="005C2342"/>
    <w:rsid w:val="005C26BE"/>
    <w:rsid w:val="005F0B6A"/>
    <w:rsid w:val="00601812"/>
    <w:rsid w:val="00603D75"/>
    <w:rsid w:val="006048C1"/>
    <w:rsid w:val="0061760B"/>
    <w:rsid w:val="00621181"/>
    <w:rsid w:val="006408D1"/>
    <w:rsid w:val="00647FDE"/>
    <w:rsid w:val="00667C37"/>
    <w:rsid w:val="0067292F"/>
    <w:rsid w:val="0067386E"/>
    <w:rsid w:val="006A536F"/>
    <w:rsid w:val="006E73B2"/>
    <w:rsid w:val="006F410D"/>
    <w:rsid w:val="00711298"/>
    <w:rsid w:val="00712002"/>
    <w:rsid w:val="007124AA"/>
    <w:rsid w:val="007736E3"/>
    <w:rsid w:val="007906CA"/>
    <w:rsid w:val="007A609B"/>
    <w:rsid w:val="007B1CA0"/>
    <w:rsid w:val="007B51DF"/>
    <w:rsid w:val="007C20B0"/>
    <w:rsid w:val="00803CAC"/>
    <w:rsid w:val="0081137E"/>
    <w:rsid w:val="008265D5"/>
    <w:rsid w:val="00847288"/>
    <w:rsid w:val="008C0FEB"/>
    <w:rsid w:val="008C1229"/>
    <w:rsid w:val="008E4BFA"/>
    <w:rsid w:val="008F3230"/>
    <w:rsid w:val="009058F0"/>
    <w:rsid w:val="00923389"/>
    <w:rsid w:val="009253AE"/>
    <w:rsid w:val="00940CC7"/>
    <w:rsid w:val="00945436"/>
    <w:rsid w:val="009609D8"/>
    <w:rsid w:val="0097230E"/>
    <w:rsid w:val="009C052F"/>
    <w:rsid w:val="009D7043"/>
    <w:rsid w:val="009E00B4"/>
    <w:rsid w:val="009F12ED"/>
    <w:rsid w:val="009F772A"/>
    <w:rsid w:val="00A01A51"/>
    <w:rsid w:val="00A034C0"/>
    <w:rsid w:val="00A11D72"/>
    <w:rsid w:val="00A51EC1"/>
    <w:rsid w:val="00A74A93"/>
    <w:rsid w:val="00AA5A62"/>
    <w:rsid w:val="00AA6160"/>
    <w:rsid w:val="00AB22D4"/>
    <w:rsid w:val="00AC697A"/>
    <w:rsid w:val="00AF7722"/>
    <w:rsid w:val="00B00EE0"/>
    <w:rsid w:val="00B076C4"/>
    <w:rsid w:val="00B12AD0"/>
    <w:rsid w:val="00B23BB4"/>
    <w:rsid w:val="00B342D3"/>
    <w:rsid w:val="00B60FDC"/>
    <w:rsid w:val="00B77829"/>
    <w:rsid w:val="00B827B2"/>
    <w:rsid w:val="00B910EA"/>
    <w:rsid w:val="00BA0BDB"/>
    <w:rsid w:val="00BA2C92"/>
    <w:rsid w:val="00BA483F"/>
    <w:rsid w:val="00BC4467"/>
    <w:rsid w:val="00BC63FD"/>
    <w:rsid w:val="00BE73F2"/>
    <w:rsid w:val="00BF00A9"/>
    <w:rsid w:val="00BF102A"/>
    <w:rsid w:val="00BF58F6"/>
    <w:rsid w:val="00C2559A"/>
    <w:rsid w:val="00C260D4"/>
    <w:rsid w:val="00C70819"/>
    <w:rsid w:val="00C855F2"/>
    <w:rsid w:val="00CA5773"/>
    <w:rsid w:val="00CA6CAF"/>
    <w:rsid w:val="00CC5FEC"/>
    <w:rsid w:val="00CE34E0"/>
    <w:rsid w:val="00CE5D0A"/>
    <w:rsid w:val="00D15DFB"/>
    <w:rsid w:val="00D27104"/>
    <w:rsid w:val="00D64257"/>
    <w:rsid w:val="00D850DC"/>
    <w:rsid w:val="00DA3681"/>
    <w:rsid w:val="00E1363C"/>
    <w:rsid w:val="00E57129"/>
    <w:rsid w:val="00E63C5F"/>
    <w:rsid w:val="00E652CD"/>
    <w:rsid w:val="00E709E6"/>
    <w:rsid w:val="00E87932"/>
    <w:rsid w:val="00E94A3A"/>
    <w:rsid w:val="00E96169"/>
    <w:rsid w:val="00EB211D"/>
    <w:rsid w:val="00EE7264"/>
    <w:rsid w:val="00F11881"/>
    <w:rsid w:val="00F3784F"/>
    <w:rsid w:val="00F44227"/>
    <w:rsid w:val="00F53EFF"/>
    <w:rsid w:val="00F709DE"/>
    <w:rsid w:val="00FC62E6"/>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7EB7"/>
  <w15:chartTrackingRefBased/>
  <w15:docId w15:val="{958C16B0-E2D2-4922-8094-171C39C3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37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37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37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37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37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37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37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37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37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37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37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37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37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37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37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370D"/>
    <w:rPr>
      <w:rFonts w:eastAsiaTheme="majorEastAsia" w:cstheme="majorBidi"/>
      <w:color w:val="272727" w:themeColor="text1" w:themeTint="D8"/>
    </w:rPr>
  </w:style>
  <w:style w:type="paragraph" w:styleId="Titre">
    <w:name w:val="Title"/>
    <w:basedOn w:val="Normal"/>
    <w:next w:val="Normal"/>
    <w:link w:val="TitreCar"/>
    <w:uiPriority w:val="10"/>
    <w:qFormat/>
    <w:rsid w:val="002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37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37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37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370D"/>
    <w:pPr>
      <w:spacing w:before="160"/>
      <w:jc w:val="center"/>
    </w:pPr>
    <w:rPr>
      <w:i/>
      <w:iCs/>
      <w:color w:val="404040" w:themeColor="text1" w:themeTint="BF"/>
    </w:rPr>
  </w:style>
  <w:style w:type="character" w:customStyle="1" w:styleId="CitationCar">
    <w:name w:val="Citation Car"/>
    <w:basedOn w:val="Policepardfaut"/>
    <w:link w:val="Citation"/>
    <w:uiPriority w:val="29"/>
    <w:rsid w:val="0022370D"/>
    <w:rPr>
      <w:i/>
      <w:iCs/>
      <w:color w:val="404040" w:themeColor="text1" w:themeTint="BF"/>
    </w:rPr>
  </w:style>
  <w:style w:type="paragraph" w:styleId="Paragraphedeliste">
    <w:name w:val="List Paragraph"/>
    <w:basedOn w:val="Normal"/>
    <w:uiPriority w:val="34"/>
    <w:qFormat/>
    <w:rsid w:val="0022370D"/>
    <w:pPr>
      <w:ind w:left="720"/>
      <w:contextualSpacing/>
    </w:pPr>
  </w:style>
  <w:style w:type="character" w:styleId="Accentuationintense">
    <w:name w:val="Intense Emphasis"/>
    <w:basedOn w:val="Policepardfaut"/>
    <w:uiPriority w:val="21"/>
    <w:qFormat/>
    <w:rsid w:val="0022370D"/>
    <w:rPr>
      <w:i/>
      <w:iCs/>
      <w:color w:val="0F4761" w:themeColor="accent1" w:themeShade="BF"/>
    </w:rPr>
  </w:style>
  <w:style w:type="paragraph" w:styleId="Citationintense">
    <w:name w:val="Intense Quote"/>
    <w:basedOn w:val="Normal"/>
    <w:next w:val="Normal"/>
    <w:link w:val="CitationintenseCar"/>
    <w:uiPriority w:val="30"/>
    <w:qFormat/>
    <w:rsid w:val="0022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370D"/>
    <w:rPr>
      <w:i/>
      <w:iCs/>
      <w:color w:val="0F4761" w:themeColor="accent1" w:themeShade="BF"/>
    </w:rPr>
  </w:style>
  <w:style w:type="character" w:styleId="Rfrenceintense">
    <w:name w:val="Intense Reference"/>
    <w:basedOn w:val="Policepardfaut"/>
    <w:uiPriority w:val="32"/>
    <w:qFormat/>
    <w:rsid w:val="0022370D"/>
    <w:rPr>
      <w:b/>
      <w:bCs/>
      <w:smallCaps/>
      <w:color w:val="0F4761" w:themeColor="accent1" w:themeShade="BF"/>
      <w:spacing w:val="5"/>
    </w:rPr>
  </w:style>
  <w:style w:type="paragraph" w:styleId="Notedebasdepage">
    <w:name w:val="footnote text"/>
    <w:basedOn w:val="Normal"/>
    <w:link w:val="NotedebasdepageCar"/>
    <w:uiPriority w:val="99"/>
    <w:unhideWhenUsed/>
    <w:rsid w:val="00CA6CAF"/>
    <w:pPr>
      <w:spacing w:after="0" w:line="240" w:lineRule="auto"/>
    </w:pPr>
    <w:rPr>
      <w:sz w:val="20"/>
      <w:szCs w:val="20"/>
    </w:rPr>
  </w:style>
  <w:style w:type="character" w:customStyle="1" w:styleId="NotedebasdepageCar">
    <w:name w:val="Note de bas de page Car"/>
    <w:basedOn w:val="Policepardfaut"/>
    <w:link w:val="Notedebasdepage"/>
    <w:uiPriority w:val="99"/>
    <w:rsid w:val="00CA6CAF"/>
    <w:rPr>
      <w:sz w:val="20"/>
      <w:szCs w:val="20"/>
    </w:rPr>
  </w:style>
  <w:style w:type="character" w:styleId="Appelnotedebasdep">
    <w:name w:val="footnote reference"/>
    <w:basedOn w:val="Policepardfaut"/>
    <w:uiPriority w:val="99"/>
    <w:semiHidden/>
    <w:unhideWhenUsed/>
    <w:rsid w:val="00CA6CAF"/>
    <w:rPr>
      <w:vertAlign w:val="superscript"/>
    </w:rPr>
  </w:style>
  <w:style w:type="paragraph" w:styleId="Rvision">
    <w:name w:val="Revision"/>
    <w:hidden/>
    <w:uiPriority w:val="99"/>
    <w:semiHidden/>
    <w:rsid w:val="00847288"/>
    <w:pPr>
      <w:spacing w:after="0" w:line="240" w:lineRule="auto"/>
    </w:pPr>
  </w:style>
  <w:style w:type="character" w:styleId="Marquedecommentaire">
    <w:name w:val="annotation reference"/>
    <w:basedOn w:val="Policepardfaut"/>
    <w:uiPriority w:val="99"/>
    <w:semiHidden/>
    <w:unhideWhenUsed/>
    <w:rsid w:val="00E94A3A"/>
    <w:rPr>
      <w:sz w:val="16"/>
      <w:szCs w:val="16"/>
    </w:rPr>
  </w:style>
  <w:style w:type="paragraph" w:styleId="Commentaire">
    <w:name w:val="annotation text"/>
    <w:basedOn w:val="Normal"/>
    <w:link w:val="CommentaireCar"/>
    <w:uiPriority w:val="99"/>
    <w:unhideWhenUsed/>
    <w:rsid w:val="00E94A3A"/>
    <w:pPr>
      <w:spacing w:line="240" w:lineRule="auto"/>
    </w:pPr>
    <w:rPr>
      <w:sz w:val="20"/>
      <w:szCs w:val="20"/>
    </w:rPr>
  </w:style>
  <w:style w:type="character" w:customStyle="1" w:styleId="CommentaireCar">
    <w:name w:val="Commentaire Car"/>
    <w:basedOn w:val="Policepardfaut"/>
    <w:link w:val="Commentaire"/>
    <w:uiPriority w:val="99"/>
    <w:rsid w:val="00E94A3A"/>
    <w:rPr>
      <w:sz w:val="20"/>
      <w:szCs w:val="20"/>
    </w:rPr>
  </w:style>
  <w:style w:type="paragraph" w:styleId="Objetducommentaire">
    <w:name w:val="annotation subject"/>
    <w:basedOn w:val="Commentaire"/>
    <w:next w:val="Commentaire"/>
    <w:link w:val="ObjetducommentaireCar"/>
    <w:uiPriority w:val="99"/>
    <w:semiHidden/>
    <w:unhideWhenUsed/>
    <w:rsid w:val="00E94A3A"/>
    <w:rPr>
      <w:b/>
      <w:bCs/>
    </w:rPr>
  </w:style>
  <w:style w:type="character" w:customStyle="1" w:styleId="ObjetducommentaireCar">
    <w:name w:val="Objet du commentaire Car"/>
    <w:basedOn w:val="CommentaireCar"/>
    <w:link w:val="Objetducommentaire"/>
    <w:uiPriority w:val="99"/>
    <w:semiHidden/>
    <w:rsid w:val="00E94A3A"/>
    <w:rPr>
      <w:b/>
      <w:bCs/>
      <w:sz w:val="20"/>
      <w:szCs w:val="20"/>
    </w:rPr>
  </w:style>
  <w:style w:type="character" w:styleId="Lienhypertexte">
    <w:name w:val="Hyperlink"/>
    <w:basedOn w:val="Policepardfaut"/>
    <w:uiPriority w:val="99"/>
    <w:unhideWhenUsed/>
    <w:rsid w:val="00310E50"/>
    <w:rPr>
      <w:color w:val="467886" w:themeColor="hyperlink"/>
      <w:u w:val="single"/>
    </w:rPr>
  </w:style>
  <w:style w:type="character" w:styleId="Mentionnonrsolue">
    <w:name w:val="Unresolved Mention"/>
    <w:basedOn w:val="Policepardfaut"/>
    <w:uiPriority w:val="99"/>
    <w:semiHidden/>
    <w:unhideWhenUsed/>
    <w:rsid w:val="0031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536">
      <w:bodyDiv w:val="1"/>
      <w:marLeft w:val="0"/>
      <w:marRight w:val="0"/>
      <w:marTop w:val="0"/>
      <w:marBottom w:val="0"/>
      <w:divBdr>
        <w:top w:val="none" w:sz="0" w:space="0" w:color="auto"/>
        <w:left w:val="none" w:sz="0" w:space="0" w:color="auto"/>
        <w:bottom w:val="none" w:sz="0" w:space="0" w:color="auto"/>
        <w:right w:val="none" w:sz="0" w:space="0" w:color="auto"/>
      </w:divBdr>
      <w:divsChild>
        <w:div w:id="1897430061">
          <w:marLeft w:val="0"/>
          <w:marRight w:val="0"/>
          <w:marTop w:val="0"/>
          <w:marBottom w:val="0"/>
          <w:divBdr>
            <w:top w:val="none" w:sz="0" w:space="0" w:color="auto"/>
            <w:left w:val="none" w:sz="0" w:space="0" w:color="auto"/>
            <w:bottom w:val="none" w:sz="0" w:space="0" w:color="auto"/>
            <w:right w:val="none" w:sz="0" w:space="0" w:color="auto"/>
          </w:divBdr>
        </w:div>
      </w:divsChild>
    </w:div>
    <w:div w:id="97483548">
      <w:bodyDiv w:val="1"/>
      <w:marLeft w:val="0"/>
      <w:marRight w:val="0"/>
      <w:marTop w:val="0"/>
      <w:marBottom w:val="0"/>
      <w:divBdr>
        <w:top w:val="none" w:sz="0" w:space="0" w:color="auto"/>
        <w:left w:val="none" w:sz="0" w:space="0" w:color="auto"/>
        <w:bottom w:val="none" w:sz="0" w:space="0" w:color="auto"/>
        <w:right w:val="none" w:sz="0" w:space="0" w:color="auto"/>
      </w:divBdr>
      <w:divsChild>
        <w:div w:id="263806189">
          <w:marLeft w:val="0"/>
          <w:marRight w:val="0"/>
          <w:marTop w:val="0"/>
          <w:marBottom w:val="0"/>
          <w:divBdr>
            <w:top w:val="none" w:sz="0" w:space="0" w:color="auto"/>
            <w:left w:val="none" w:sz="0" w:space="0" w:color="auto"/>
            <w:bottom w:val="none" w:sz="0" w:space="0" w:color="auto"/>
            <w:right w:val="none" w:sz="0" w:space="0" w:color="auto"/>
          </w:divBdr>
        </w:div>
      </w:divsChild>
    </w:div>
    <w:div w:id="233398400">
      <w:bodyDiv w:val="1"/>
      <w:marLeft w:val="0"/>
      <w:marRight w:val="0"/>
      <w:marTop w:val="0"/>
      <w:marBottom w:val="0"/>
      <w:divBdr>
        <w:top w:val="none" w:sz="0" w:space="0" w:color="auto"/>
        <w:left w:val="none" w:sz="0" w:space="0" w:color="auto"/>
        <w:bottom w:val="none" w:sz="0" w:space="0" w:color="auto"/>
        <w:right w:val="none" w:sz="0" w:space="0" w:color="auto"/>
      </w:divBdr>
      <w:divsChild>
        <w:div w:id="1842817446">
          <w:marLeft w:val="0"/>
          <w:marRight w:val="0"/>
          <w:marTop w:val="0"/>
          <w:marBottom w:val="0"/>
          <w:divBdr>
            <w:top w:val="none" w:sz="0" w:space="0" w:color="auto"/>
            <w:left w:val="none" w:sz="0" w:space="0" w:color="auto"/>
            <w:bottom w:val="none" w:sz="0" w:space="0" w:color="auto"/>
            <w:right w:val="none" w:sz="0" w:space="0" w:color="auto"/>
          </w:divBdr>
        </w:div>
        <w:div w:id="1340158055">
          <w:marLeft w:val="0"/>
          <w:marRight w:val="0"/>
          <w:marTop w:val="0"/>
          <w:marBottom w:val="0"/>
          <w:divBdr>
            <w:top w:val="none" w:sz="0" w:space="0" w:color="auto"/>
            <w:left w:val="none" w:sz="0" w:space="0" w:color="auto"/>
            <w:bottom w:val="none" w:sz="0" w:space="0" w:color="auto"/>
            <w:right w:val="none" w:sz="0" w:space="0" w:color="auto"/>
          </w:divBdr>
        </w:div>
        <w:div w:id="1696803332">
          <w:marLeft w:val="0"/>
          <w:marRight w:val="0"/>
          <w:marTop w:val="0"/>
          <w:marBottom w:val="0"/>
          <w:divBdr>
            <w:top w:val="none" w:sz="0" w:space="0" w:color="auto"/>
            <w:left w:val="none" w:sz="0" w:space="0" w:color="auto"/>
            <w:bottom w:val="none" w:sz="0" w:space="0" w:color="auto"/>
            <w:right w:val="none" w:sz="0" w:space="0" w:color="auto"/>
          </w:divBdr>
        </w:div>
        <w:div w:id="2063629516">
          <w:marLeft w:val="0"/>
          <w:marRight w:val="0"/>
          <w:marTop w:val="0"/>
          <w:marBottom w:val="0"/>
          <w:divBdr>
            <w:top w:val="none" w:sz="0" w:space="0" w:color="auto"/>
            <w:left w:val="none" w:sz="0" w:space="0" w:color="auto"/>
            <w:bottom w:val="none" w:sz="0" w:space="0" w:color="auto"/>
            <w:right w:val="none" w:sz="0" w:space="0" w:color="auto"/>
          </w:divBdr>
        </w:div>
        <w:div w:id="1415282650">
          <w:marLeft w:val="0"/>
          <w:marRight w:val="0"/>
          <w:marTop w:val="0"/>
          <w:marBottom w:val="0"/>
          <w:divBdr>
            <w:top w:val="none" w:sz="0" w:space="0" w:color="auto"/>
            <w:left w:val="none" w:sz="0" w:space="0" w:color="auto"/>
            <w:bottom w:val="none" w:sz="0" w:space="0" w:color="auto"/>
            <w:right w:val="none" w:sz="0" w:space="0" w:color="auto"/>
          </w:divBdr>
        </w:div>
      </w:divsChild>
    </w:div>
    <w:div w:id="652373604">
      <w:bodyDiv w:val="1"/>
      <w:marLeft w:val="0"/>
      <w:marRight w:val="0"/>
      <w:marTop w:val="0"/>
      <w:marBottom w:val="0"/>
      <w:divBdr>
        <w:top w:val="none" w:sz="0" w:space="0" w:color="auto"/>
        <w:left w:val="none" w:sz="0" w:space="0" w:color="auto"/>
        <w:bottom w:val="none" w:sz="0" w:space="0" w:color="auto"/>
        <w:right w:val="none" w:sz="0" w:space="0" w:color="auto"/>
      </w:divBdr>
    </w:div>
    <w:div w:id="791707299">
      <w:bodyDiv w:val="1"/>
      <w:marLeft w:val="0"/>
      <w:marRight w:val="0"/>
      <w:marTop w:val="0"/>
      <w:marBottom w:val="0"/>
      <w:divBdr>
        <w:top w:val="none" w:sz="0" w:space="0" w:color="auto"/>
        <w:left w:val="none" w:sz="0" w:space="0" w:color="auto"/>
        <w:bottom w:val="none" w:sz="0" w:space="0" w:color="auto"/>
        <w:right w:val="none" w:sz="0" w:space="0" w:color="auto"/>
      </w:divBdr>
    </w:div>
    <w:div w:id="793987288">
      <w:bodyDiv w:val="1"/>
      <w:marLeft w:val="0"/>
      <w:marRight w:val="0"/>
      <w:marTop w:val="0"/>
      <w:marBottom w:val="0"/>
      <w:divBdr>
        <w:top w:val="none" w:sz="0" w:space="0" w:color="auto"/>
        <w:left w:val="none" w:sz="0" w:space="0" w:color="auto"/>
        <w:bottom w:val="none" w:sz="0" w:space="0" w:color="auto"/>
        <w:right w:val="none" w:sz="0" w:space="0" w:color="auto"/>
      </w:divBdr>
      <w:divsChild>
        <w:div w:id="1182090022">
          <w:marLeft w:val="0"/>
          <w:marRight w:val="0"/>
          <w:marTop w:val="0"/>
          <w:marBottom w:val="0"/>
          <w:divBdr>
            <w:top w:val="none" w:sz="0" w:space="0" w:color="auto"/>
            <w:left w:val="none" w:sz="0" w:space="0" w:color="auto"/>
            <w:bottom w:val="none" w:sz="0" w:space="0" w:color="auto"/>
            <w:right w:val="none" w:sz="0" w:space="0" w:color="auto"/>
          </w:divBdr>
        </w:div>
        <w:div w:id="632909117">
          <w:marLeft w:val="0"/>
          <w:marRight w:val="0"/>
          <w:marTop w:val="0"/>
          <w:marBottom w:val="0"/>
          <w:divBdr>
            <w:top w:val="none" w:sz="0" w:space="0" w:color="auto"/>
            <w:left w:val="none" w:sz="0" w:space="0" w:color="auto"/>
            <w:bottom w:val="none" w:sz="0" w:space="0" w:color="auto"/>
            <w:right w:val="none" w:sz="0" w:space="0" w:color="auto"/>
          </w:divBdr>
        </w:div>
        <w:div w:id="1584993200">
          <w:marLeft w:val="0"/>
          <w:marRight w:val="0"/>
          <w:marTop w:val="0"/>
          <w:marBottom w:val="0"/>
          <w:divBdr>
            <w:top w:val="none" w:sz="0" w:space="0" w:color="auto"/>
            <w:left w:val="none" w:sz="0" w:space="0" w:color="auto"/>
            <w:bottom w:val="none" w:sz="0" w:space="0" w:color="auto"/>
            <w:right w:val="none" w:sz="0" w:space="0" w:color="auto"/>
          </w:divBdr>
        </w:div>
        <w:div w:id="1500929519">
          <w:marLeft w:val="0"/>
          <w:marRight w:val="0"/>
          <w:marTop w:val="0"/>
          <w:marBottom w:val="0"/>
          <w:divBdr>
            <w:top w:val="none" w:sz="0" w:space="0" w:color="auto"/>
            <w:left w:val="none" w:sz="0" w:space="0" w:color="auto"/>
            <w:bottom w:val="none" w:sz="0" w:space="0" w:color="auto"/>
            <w:right w:val="none" w:sz="0" w:space="0" w:color="auto"/>
          </w:divBdr>
        </w:div>
        <w:div w:id="1048263879">
          <w:marLeft w:val="0"/>
          <w:marRight w:val="0"/>
          <w:marTop w:val="0"/>
          <w:marBottom w:val="0"/>
          <w:divBdr>
            <w:top w:val="none" w:sz="0" w:space="0" w:color="auto"/>
            <w:left w:val="none" w:sz="0" w:space="0" w:color="auto"/>
            <w:bottom w:val="none" w:sz="0" w:space="0" w:color="auto"/>
            <w:right w:val="none" w:sz="0" w:space="0" w:color="auto"/>
          </w:divBdr>
        </w:div>
      </w:divsChild>
    </w:div>
    <w:div w:id="1112241931">
      <w:bodyDiv w:val="1"/>
      <w:marLeft w:val="0"/>
      <w:marRight w:val="0"/>
      <w:marTop w:val="0"/>
      <w:marBottom w:val="0"/>
      <w:divBdr>
        <w:top w:val="none" w:sz="0" w:space="0" w:color="auto"/>
        <w:left w:val="none" w:sz="0" w:space="0" w:color="auto"/>
        <w:bottom w:val="none" w:sz="0" w:space="0" w:color="auto"/>
        <w:right w:val="none" w:sz="0" w:space="0" w:color="auto"/>
      </w:divBdr>
      <w:divsChild>
        <w:div w:id="1227492795">
          <w:marLeft w:val="0"/>
          <w:marRight w:val="0"/>
          <w:marTop w:val="0"/>
          <w:marBottom w:val="0"/>
          <w:divBdr>
            <w:top w:val="none" w:sz="0" w:space="0" w:color="auto"/>
            <w:left w:val="none" w:sz="0" w:space="0" w:color="auto"/>
            <w:bottom w:val="none" w:sz="0" w:space="0" w:color="auto"/>
            <w:right w:val="none" w:sz="0" w:space="0" w:color="auto"/>
          </w:divBdr>
        </w:div>
      </w:divsChild>
    </w:div>
    <w:div w:id="1200897135">
      <w:bodyDiv w:val="1"/>
      <w:marLeft w:val="0"/>
      <w:marRight w:val="0"/>
      <w:marTop w:val="0"/>
      <w:marBottom w:val="0"/>
      <w:divBdr>
        <w:top w:val="none" w:sz="0" w:space="0" w:color="auto"/>
        <w:left w:val="none" w:sz="0" w:space="0" w:color="auto"/>
        <w:bottom w:val="none" w:sz="0" w:space="0" w:color="auto"/>
        <w:right w:val="none" w:sz="0" w:space="0" w:color="auto"/>
      </w:divBdr>
      <w:divsChild>
        <w:div w:id="1157764483">
          <w:marLeft w:val="0"/>
          <w:marRight w:val="0"/>
          <w:marTop w:val="0"/>
          <w:marBottom w:val="0"/>
          <w:divBdr>
            <w:top w:val="none" w:sz="0" w:space="0" w:color="auto"/>
            <w:left w:val="none" w:sz="0" w:space="0" w:color="auto"/>
            <w:bottom w:val="none" w:sz="0" w:space="0" w:color="auto"/>
            <w:right w:val="none" w:sz="0" w:space="0" w:color="auto"/>
          </w:divBdr>
        </w:div>
      </w:divsChild>
    </w:div>
    <w:div w:id="1842427188">
      <w:bodyDiv w:val="1"/>
      <w:marLeft w:val="0"/>
      <w:marRight w:val="0"/>
      <w:marTop w:val="0"/>
      <w:marBottom w:val="0"/>
      <w:divBdr>
        <w:top w:val="none" w:sz="0" w:space="0" w:color="auto"/>
        <w:left w:val="none" w:sz="0" w:space="0" w:color="auto"/>
        <w:bottom w:val="none" w:sz="0" w:space="0" w:color="auto"/>
        <w:right w:val="none" w:sz="0" w:space="0" w:color="auto"/>
      </w:divBdr>
      <w:divsChild>
        <w:div w:id="299459110">
          <w:marLeft w:val="0"/>
          <w:marRight w:val="0"/>
          <w:marTop w:val="0"/>
          <w:marBottom w:val="0"/>
          <w:divBdr>
            <w:top w:val="none" w:sz="0" w:space="0" w:color="auto"/>
            <w:left w:val="none" w:sz="0" w:space="0" w:color="auto"/>
            <w:bottom w:val="none" w:sz="0" w:space="0" w:color="auto"/>
            <w:right w:val="none" w:sz="0" w:space="0" w:color="auto"/>
          </w:divBdr>
        </w:div>
      </w:divsChild>
    </w:div>
    <w:div w:id="2006547342">
      <w:bodyDiv w:val="1"/>
      <w:marLeft w:val="0"/>
      <w:marRight w:val="0"/>
      <w:marTop w:val="0"/>
      <w:marBottom w:val="0"/>
      <w:divBdr>
        <w:top w:val="none" w:sz="0" w:space="0" w:color="auto"/>
        <w:left w:val="none" w:sz="0" w:space="0" w:color="auto"/>
        <w:bottom w:val="none" w:sz="0" w:space="0" w:color="auto"/>
        <w:right w:val="none" w:sz="0" w:space="0" w:color="auto"/>
      </w:divBdr>
      <w:divsChild>
        <w:div w:id="162569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sc.be/docs/default-source/acv-csc-docsitemap/9000-militant/modele-politique-retour-au-travail3.pdf?sfvrsn=10d1e775_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FF6C-7744-4D0B-BF78-F673A04D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1127</Words>
  <Characters>6201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Lorthioir</dc:creator>
  <cp:keywords/>
  <dc:description/>
  <cp:lastModifiedBy>Laurent Lorthioir</cp:lastModifiedBy>
  <cp:revision>126</cp:revision>
  <dcterms:created xsi:type="dcterms:W3CDTF">2026-05-18T11:34:00Z</dcterms:created>
  <dcterms:modified xsi:type="dcterms:W3CDTF">2026-06-12T08:42:00Z</dcterms:modified>
</cp:coreProperties>
</file>