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8D" w:rsidRDefault="00336A8D" w:rsidP="00336A8D">
      <w:pPr>
        <w:pStyle w:val="texte"/>
        <w:suppressAutoHyphens/>
        <w:jc w:val="left"/>
        <w:rPr>
          <w:rFonts w:ascii="Myriad Pro" w:hAnsi="Myriad Pro" w:cs="Myriad Pro"/>
          <w:b/>
          <w:bCs/>
          <w:spacing w:val="-17"/>
          <w:w w:val="94"/>
          <w:sz w:val="56"/>
          <w:szCs w:val="56"/>
        </w:rPr>
      </w:pPr>
      <w:r>
        <w:rPr>
          <w:rFonts w:ascii="Myriad Pro" w:hAnsi="Myriad Pro" w:cs="Myriad Pro"/>
          <w:b/>
          <w:bCs/>
          <w:spacing w:val="-17"/>
          <w:w w:val="94"/>
          <w:sz w:val="56"/>
          <w:szCs w:val="56"/>
        </w:rPr>
        <w:t>Refinancer l'enseignement, cela ne doit pas être un tabou !</w:t>
      </w:r>
    </w:p>
    <w:p w:rsidR="00336A8D" w:rsidRDefault="00336A8D" w:rsidP="00336A8D">
      <w:pPr>
        <w:pStyle w:val="texte"/>
        <w:spacing w:after="113"/>
        <w:rPr>
          <w:rFonts w:ascii="Myriad Pro" w:hAnsi="Myriad Pro" w:cs="Myriad Pro"/>
          <w:spacing w:val="-6"/>
        </w:rPr>
      </w:pPr>
    </w:p>
    <w:p w:rsidR="00336A8D" w:rsidRDefault="00336A8D" w:rsidP="00336A8D">
      <w:pPr>
        <w:pStyle w:val="texte"/>
        <w:spacing w:after="113"/>
        <w:rPr>
          <w:rFonts w:ascii="Myriad Pro" w:hAnsi="Myriad Pro" w:cs="Myriad Pro"/>
          <w:spacing w:val="-6"/>
        </w:rPr>
      </w:pPr>
      <w:r>
        <w:rPr>
          <w:rFonts w:ascii="Myriad Pro" w:hAnsi="Myriad Pro" w:cs="Myriad Pro"/>
          <w:spacing w:val="-6"/>
        </w:rPr>
        <w:t>L’année scolaire qui commence coïncide avec plusieurs échéances électorales. C’est l’occasion de poser des questions de fond pour notre vie en société.</w:t>
      </w:r>
    </w:p>
    <w:p w:rsidR="00336A8D" w:rsidRDefault="00336A8D" w:rsidP="00336A8D">
      <w:pPr>
        <w:pStyle w:val="texte"/>
        <w:spacing w:after="113"/>
        <w:rPr>
          <w:rFonts w:ascii="Myriad Pro" w:hAnsi="Myriad Pro" w:cs="Myriad Pro"/>
          <w:spacing w:val="-6"/>
        </w:rPr>
      </w:pPr>
      <w:r>
        <w:rPr>
          <w:rFonts w:ascii="Myriad Pro" w:hAnsi="Myriad Pro" w:cs="Myriad Pro"/>
          <w:spacing w:val="-6"/>
        </w:rPr>
        <w:t xml:space="preserve">L’éducation est un bien public pour l’ensemble de la société : elle contribue au développement social, culturel, démocratique et économique. Elle permet aux individus de participer concrètement à la société. L’éducation est un bien public et un droit fondamental et doit être financée par les pouvoirs publics. </w:t>
      </w:r>
    </w:p>
    <w:p w:rsidR="00336A8D" w:rsidRDefault="00336A8D" w:rsidP="00336A8D">
      <w:pPr>
        <w:pStyle w:val="texte"/>
        <w:spacing w:after="113"/>
        <w:rPr>
          <w:rFonts w:ascii="Myriad Pro" w:hAnsi="Myriad Pro" w:cs="Myriad Pro"/>
          <w:spacing w:val="-6"/>
        </w:rPr>
      </w:pPr>
      <w:r>
        <w:rPr>
          <w:rFonts w:ascii="Myriad Pro" w:hAnsi="Myriad Pro" w:cs="Myriad Pro"/>
          <w:spacing w:val="-6"/>
        </w:rPr>
        <w:t xml:space="preserve">En Fédération Wallonie-Bruxelles, le Gouvernement envisage légitimement le refinancement de l’enseignement maternel, fondamental et supérieur. Vu les besoins de ces différents niveaux, celui-ci est indispensable et, par rapport aux défis à relever, les investissements envisagés demeurent faibles. Mais qui va payer la note ? </w:t>
      </w:r>
    </w:p>
    <w:p w:rsidR="00336A8D" w:rsidRDefault="00336A8D" w:rsidP="00336A8D">
      <w:pPr>
        <w:pStyle w:val="texte"/>
        <w:spacing w:after="113"/>
        <w:rPr>
          <w:rFonts w:ascii="Myriad Pro" w:hAnsi="Myriad Pro" w:cs="Myriad Pro"/>
          <w:spacing w:val="-6"/>
        </w:rPr>
      </w:pPr>
      <w:r>
        <w:rPr>
          <w:rFonts w:ascii="Myriad Pro" w:hAnsi="Myriad Pro" w:cs="Myriad Pro"/>
          <w:spacing w:val="-6"/>
        </w:rPr>
        <w:t>Dans le cadre du Pacte, «</w:t>
      </w:r>
      <w:r>
        <w:rPr>
          <w:rFonts w:ascii="Myriad Pro" w:hAnsi="Myriad Pro" w:cs="Myriad Pro"/>
          <w:i/>
          <w:iCs/>
          <w:spacing w:val="-6"/>
        </w:rPr>
        <w:t>Les réformes impliquent des dépenses nouvelles de l’ordre de 300 millions d’euros, dont 230 à 250 millions seront financés en rythme de croisière par des réorientations au sein du budget actuel de l’enseignement.</w:t>
      </w:r>
      <w:r>
        <w:rPr>
          <w:rFonts w:ascii="Myriad Pro" w:hAnsi="Myriad Pro" w:cs="Myriad Pro"/>
          <w:i/>
          <w:iCs/>
          <w:spacing w:val="-6"/>
          <w:vertAlign w:val="superscript"/>
        </w:rPr>
        <w:t>i</w:t>
      </w:r>
      <w:r>
        <w:rPr>
          <w:rFonts w:ascii="Myriad Pro" w:hAnsi="Myriad Pro" w:cs="Myriad Pro"/>
          <w:spacing w:val="-6"/>
        </w:rPr>
        <w:t xml:space="preserve">». </w:t>
      </w:r>
    </w:p>
    <w:p w:rsidR="00336A8D" w:rsidRDefault="00336A8D" w:rsidP="00336A8D">
      <w:pPr>
        <w:pStyle w:val="texte"/>
        <w:spacing w:after="113"/>
        <w:rPr>
          <w:rFonts w:ascii="Myriad Pro" w:hAnsi="Myriad Pro" w:cs="Myriad Pro"/>
          <w:spacing w:val="-6"/>
        </w:rPr>
      </w:pPr>
      <w:r>
        <w:rPr>
          <w:rFonts w:ascii="Myriad Pro" w:hAnsi="Myriad Pro" w:cs="Myriad Pro"/>
          <w:spacing w:val="-6"/>
        </w:rPr>
        <w:t>D’après le rapport du Collège d’experts extérieurs établi à la demande du Conseil d’Administration de l’ARES, «</w:t>
      </w:r>
      <w:r>
        <w:rPr>
          <w:rFonts w:ascii="Myriad Pro" w:hAnsi="Myriad Pro" w:cs="Myriad Pro"/>
          <w:i/>
          <w:iCs/>
          <w:spacing w:val="-6"/>
        </w:rPr>
        <w:t xml:space="preserve">Le financement de l’enseignement supérieur doit être mis en perspective avec son évolution dans les autres niveaux d’enseignement. S’il convient de considérer l’éducation dans une perspective d’apprentissage tout au long de la vie et donc son financement dans un même continuum, il convient de souligner qu’en FWB, tous les niveaux d’enseignement, à l’exception de l’enseignement supérieur, ont vu les moyens annuels par élève augmenter au cours des dix dernières années. </w:t>
      </w:r>
      <w:r>
        <w:rPr>
          <w:rFonts w:ascii="Myriad Pro Light" w:hAnsi="Myriad Pro Light" w:cs="Myriad Pro Light"/>
          <w:i/>
          <w:iCs/>
          <w:spacing w:val="-6"/>
        </w:rPr>
        <w:t>Ainsi, les moyens alloués par étudiant dans l’enseignement supérieur hors université sont inférieurs à ceux alloués par élève dans l’enseignement secondaire</w:t>
      </w:r>
      <w:r>
        <w:rPr>
          <w:rFonts w:ascii="Myriad Pro" w:hAnsi="Myriad Pro" w:cs="Myriad Pro"/>
          <w:i/>
          <w:iCs/>
          <w:spacing w:val="-6"/>
        </w:rPr>
        <w:t>, faisant de la Belgique francophone une exception en Europe et parmi les pays de l’OCDE, et ce, malgré les défis majeurs persistants dans l’enseignement dit "obligatoire"»</w:t>
      </w:r>
      <w:r>
        <w:rPr>
          <w:rFonts w:ascii="Myriad Pro" w:hAnsi="Myriad Pro" w:cs="Myriad Pro"/>
          <w:i/>
          <w:iCs/>
          <w:spacing w:val="-6"/>
          <w:vertAlign w:val="superscript"/>
        </w:rPr>
        <w:t>ii</w:t>
      </w:r>
      <w:r>
        <w:rPr>
          <w:rFonts w:ascii="Myriad Pro" w:hAnsi="Myriad Pro" w:cs="Myriad Pro"/>
          <w:spacing w:val="-6"/>
        </w:rPr>
        <w:t>.</w:t>
      </w:r>
    </w:p>
    <w:p w:rsidR="00336A8D" w:rsidRDefault="00336A8D" w:rsidP="00336A8D">
      <w:pPr>
        <w:pStyle w:val="texte"/>
        <w:spacing w:after="113"/>
        <w:rPr>
          <w:rFonts w:ascii="Myriad Pro" w:hAnsi="Myriad Pro" w:cs="Myriad Pro"/>
          <w:spacing w:val="-6"/>
        </w:rPr>
      </w:pPr>
      <w:r>
        <w:rPr>
          <w:rFonts w:ascii="Myriad Pro" w:hAnsi="Myriad Pro" w:cs="Myriad Pro"/>
          <w:spacing w:val="-6"/>
        </w:rPr>
        <w:t>Ce qui est envisagé, c’est que le secondaire subisse la plupart des réorientations prévues via notamment la transformation de la 3</w:t>
      </w:r>
      <w:r>
        <w:rPr>
          <w:rFonts w:ascii="Myriad Pro" w:hAnsi="Myriad Pro" w:cs="Myriad Pro"/>
          <w:spacing w:val="-6"/>
          <w:vertAlign w:val="superscript"/>
        </w:rPr>
        <w:t>e</w:t>
      </w:r>
      <w:r>
        <w:rPr>
          <w:rFonts w:ascii="Myriad Pro" w:hAnsi="Myriad Pro" w:cs="Myriad Pro"/>
          <w:spacing w:val="-6"/>
        </w:rPr>
        <w:t xml:space="preserve"> secondaire en dernière année du tronc commun, la baisse du taux de redoublement, la réorganisation de l’enseignement de qualification en une seule filière,... </w:t>
      </w:r>
    </w:p>
    <w:p w:rsidR="00336A8D" w:rsidRDefault="00336A8D" w:rsidP="00336A8D">
      <w:pPr>
        <w:pStyle w:val="texte"/>
        <w:spacing w:after="113"/>
        <w:rPr>
          <w:rFonts w:ascii="Myriad Pro" w:hAnsi="Myriad Pro" w:cs="Myriad Pro"/>
          <w:spacing w:val="-6"/>
        </w:rPr>
      </w:pPr>
      <w:r>
        <w:rPr>
          <w:rFonts w:ascii="Myriad Pro" w:hAnsi="Myriad Pro" w:cs="Myriad Pro"/>
          <w:spacing w:val="-6"/>
        </w:rPr>
        <w:t xml:space="preserve">Nous ne souhaitons pas remettre en cause les réformes envisagées, les investissements prévus dans l’enseignement maternel et fondamental, le refinancement de l’enseignement supérieur, mais nous devons rester vigilants pour que d’autres objectifs disposent de moyens suffisants. </w:t>
      </w:r>
    </w:p>
    <w:p w:rsidR="00336A8D" w:rsidRDefault="00336A8D" w:rsidP="00336A8D">
      <w:pPr>
        <w:pStyle w:val="texte"/>
        <w:spacing w:after="113"/>
        <w:rPr>
          <w:rFonts w:ascii="Myriad Pro" w:hAnsi="Myriad Pro" w:cs="Myriad Pro"/>
          <w:spacing w:val="-6"/>
        </w:rPr>
      </w:pPr>
      <w:r>
        <w:rPr>
          <w:rFonts w:ascii="Myriad Pro" w:hAnsi="Myriad Pro" w:cs="Myriad Pro"/>
          <w:spacing w:val="-6"/>
        </w:rPr>
        <w:t>A titre d’exemples, citons :</w:t>
      </w:r>
    </w:p>
    <w:p w:rsidR="00336A8D" w:rsidRDefault="00336A8D" w:rsidP="00336A8D">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la réduction du taux de redoublement exigera un encadrement complémentaire pour aider l’élève qui éprouve des difficultés dans ses apprentissages. </w:t>
      </w:r>
    </w:p>
    <w:p w:rsidR="00336A8D" w:rsidRDefault="00336A8D" w:rsidP="00336A8D">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La réorganisation de l’enseignement de qualification en une seule filière devra veiller à ce que les élèves soient encadrés dans leurs différents apprentissages. Nous devons bien constater que la mise en place de la CPU génère de réelles difficultés, que seules les équipes qui travaillent en surrégime engendrent des résultats positifs. Par ailleurs, celles-ci nous signalent elles-mêmes que ce n’est pas soutenable sur les moyen et long termes, ...</w:t>
      </w:r>
    </w:p>
    <w:p w:rsidR="00336A8D" w:rsidRDefault="00336A8D" w:rsidP="00336A8D">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Un enseignement plus inclusif nécessitera un accompagnement complémentaire et particulier pour les élèves à besoins spécifiques qui fréquenteront l’enseignement ordinaire.</w:t>
      </w:r>
    </w:p>
    <w:p w:rsidR="00336A8D" w:rsidRDefault="00336A8D" w:rsidP="00336A8D">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La réduction du taux de décrochage générera aussi des investissements complémentaires.</w:t>
      </w:r>
    </w:p>
    <w:p w:rsidR="00336A8D" w:rsidRDefault="00336A8D" w:rsidP="00336A8D">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La réforme de la formation initiale fait l’objet de réelles frilosités de la part de différents lobbys et associations, inquiets que la Fédération Wallonie-Bruxelles n’ait pas les moyens de ses ambitions.</w:t>
      </w:r>
    </w:p>
    <w:p w:rsidR="00336A8D" w:rsidRDefault="00336A8D" w:rsidP="00336A8D">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La lutte contre la pénurie croissante de personnels nécessitera aussi des actions sur l’attractivité des métiers de l’enseignement et la revalorisation salariale de ces personnels.</w:t>
      </w:r>
    </w:p>
    <w:p w:rsidR="00336A8D" w:rsidRDefault="00336A8D" w:rsidP="00336A8D">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t>…</w:t>
      </w:r>
    </w:p>
    <w:p w:rsidR="00336A8D" w:rsidRDefault="00336A8D" w:rsidP="00336A8D">
      <w:pPr>
        <w:pStyle w:val="texte"/>
        <w:spacing w:after="113"/>
        <w:rPr>
          <w:rFonts w:ascii="Myriad Pro" w:hAnsi="Myriad Pro" w:cs="Myriad Pro"/>
          <w:spacing w:val="-6"/>
        </w:rPr>
      </w:pPr>
      <w:r>
        <w:rPr>
          <w:rFonts w:ascii="Myriad Pro" w:hAnsi="Myriad Pro" w:cs="Myriad Pro"/>
          <w:spacing w:val="-6"/>
        </w:rPr>
        <w:t xml:space="preserve">Est-ce envisageable à budgets constants dans l’enseignement ? Les réformes prévues sont-elles possibles avec un enseignement secondaire subissant des mesures d’économie drastiques ? </w:t>
      </w:r>
    </w:p>
    <w:p w:rsidR="00336A8D" w:rsidRDefault="00336A8D" w:rsidP="00336A8D">
      <w:pPr>
        <w:pStyle w:val="texte"/>
        <w:spacing w:after="113"/>
        <w:rPr>
          <w:rFonts w:ascii="Myriad Pro" w:hAnsi="Myriad Pro" w:cs="Myriad Pro"/>
          <w:spacing w:val="-6"/>
        </w:rPr>
      </w:pPr>
      <w:r>
        <w:rPr>
          <w:rFonts w:ascii="Myriad Pro" w:hAnsi="Myriad Pro" w:cs="Myriad Pro"/>
          <w:spacing w:val="-6"/>
        </w:rPr>
        <w:lastRenderedPageBreak/>
        <w:t xml:space="preserve">L’éducation ne représente pas une dépense mais bien un investissement car elle a des retombées positives sur l’emploi et les taux de croissance. La demande de travailleurs/euses diplômé(e)s et hautement qualifié(e)s ne peut être satisfaite que par le biais d’un investissement durable dans l’éducation et les enseignant(e)s. </w:t>
      </w:r>
    </w:p>
    <w:p w:rsidR="00336A8D" w:rsidRDefault="00336A8D" w:rsidP="00336A8D">
      <w:pPr>
        <w:pStyle w:val="texte"/>
        <w:spacing w:after="113"/>
        <w:rPr>
          <w:rFonts w:ascii="Myriad Pro" w:hAnsi="Myriad Pro" w:cs="Myriad Pro"/>
          <w:spacing w:val="-6"/>
        </w:rPr>
      </w:pPr>
      <w:r>
        <w:rPr>
          <w:rFonts w:ascii="Myriad Pro" w:hAnsi="Myriad Pro" w:cs="Myriad Pro"/>
          <w:spacing w:val="-6"/>
        </w:rPr>
        <w:t>Dans ces conditions, un refinancement de l’enseignement ne s’impose-t-il pas ou est-ce un tabou au nom de notre surréalisme institutionnel ?</w:t>
      </w:r>
    </w:p>
    <w:p w:rsidR="00336A8D" w:rsidRDefault="00336A8D" w:rsidP="00336A8D">
      <w:pPr>
        <w:pStyle w:val="texte"/>
        <w:spacing w:after="113"/>
        <w:jc w:val="right"/>
        <w:rPr>
          <w:rFonts w:ascii="Myriad Pro" w:hAnsi="Myriad Pro" w:cs="Myriad Pro"/>
          <w:spacing w:val="-6"/>
        </w:rPr>
      </w:pPr>
      <w:r>
        <w:rPr>
          <w:rFonts w:ascii="Wingdings 2" w:hAnsi="Wingdings 2" w:cs="Wingdings 2"/>
          <w:color w:val="589F99"/>
          <w:spacing w:val="-6"/>
          <w:sz w:val="19"/>
          <w:szCs w:val="19"/>
        </w:rPr>
        <w:t></w:t>
      </w:r>
      <w:r>
        <w:rPr>
          <w:rFonts w:ascii="Myriad Pro" w:hAnsi="Myriad Pro" w:cs="Myriad Pro"/>
          <w:spacing w:val="-6"/>
        </w:rPr>
        <w:t xml:space="preserve"> Eugène Ernst </w:t>
      </w:r>
      <w:bookmarkStart w:id="0" w:name="_GoBack"/>
      <w:bookmarkEnd w:id="0"/>
    </w:p>
    <w:p w:rsidR="00336A8D" w:rsidRDefault="00336A8D" w:rsidP="00336A8D">
      <w:pPr>
        <w:pStyle w:val="texte"/>
        <w:spacing w:after="113"/>
        <w:jc w:val="right"/>
        <w:rPr>
          <w:rFonts w:ascii="Myriad Pro" w:hAnsi="Myriad Pro" w:cs="Myriad Pro"/>
          <w:spacing w:val="-6"/>
        </w:rPr>
      </w:pPr>
    </w:p>
    <w:p w:rsidR="00336A8D" w:rsidRDefault="00336A8D" w:rsidP="00336A8D">
      <w:pPr>
        <w:pStyle w:val="texte"/>
        <w:pBdr>
          <w:top w:val="single" w:sz="8" w:space="8" w:color="409C5D"/>
        </w:pBdr>
        <w:rPr>
          <w:rFonts w:ascii="Myriad Pro" w:hAnsi="Myriad Pro" w:cs="Myriad Pro"/>
          <w:spacing w:val="-5"/>
          <w:sz w:val="16"/>
          <w:szCs w:val="16"/>
        </w:rPr>
      </w:pPr>
      <w:r>
        <w:rPr>
          <w:rFonts w:ascii="Myriad Pro" w:hAnsi="Myriad Pro" w:cs="Myriad Pro"/>
          <w:spacing w:val="-5"/>
          <w:sz w:val="16"/>
          <w:szCs w:val="16"/>
          <w:vertAlign w:val="superscript"/>
        </w:rPr>
        <w:t>i</w:t>
      </w:r>
      <w:r>
        <w:rPr>
          <w:rFonts w:ascii="Myriad Pro" w:hAnsi="Myriad Pro" w:cs="Myriad Pro"/>
          <w:spacing w:val="-5"/>
          <w:sz w:val="16"/>
          <w:szCs w:val="16"/>
        </w:rPr>
        <w:t xml:space="preserve"> Pacte pour un enseignement d'excellence, Avis 3, mars 2017, page 2.</w:t>
      </w:r>
    </w:p>
    <w:p w:rsidR="00336A8D" w:rsidRDefault="00336A8D" w:rsidP="00336A8D">
      <w:pPr>
        <w:pStyle w:val="texte"/>
        <w:spacing w:after="113"/>
        <w:rPr>
          <w:rFonts w:ascii="Myriad Pro" w:hAnsi="Myriad Pro" w:cs="Myriad Pro"/>
          <w:spacing w:val="-5"/>
          <w:sz w:val="16"/>
          <w:szCs w:val="16"/>
        </w:rPr>
      </w:pPr>
      <w:r>
        <w:rPr>
          <w:rFonts w:ascii="Myriad Pro" w:hAnsi="Myriad Pro" w:cs="Myriad Pro"/>
          <w:spacing w:val="-5"/>
          <w:sz w:val="16"/>
          <w:szCs w:val="16"/>
          <w:vertAlign w:val="superscript"/>
        </w:rPr>
        <w:t>ii</w:t>
      </w:r>
      <w:r>
        <w:rPr>
          <w:rFonts w:ascii="Myriad Pro" w:hAnsi="Myriad Pro" w:cs="Myriad Pro"/>
          <w:spacing w:val="-5"/>
          <w:sz w:val="16"/>
          <w:szCs w:val="16"/>
        </w:rPr>
        <w:t xml:space="preserve"> L’enseignement supérieur de la Fédération Wallonie-Bruxelles à l’horizon 2030 - 18 mesures pour faire face aux défis de demain - Rapport du Collège d’experts, 2017, page 27.</w:t>
      </w:r>
    </w:p>
    <w:p w:rsidR="00336A8D" w:rsidRDefault="00336A8D" w:rsidP="00336A8D">
      <w:pPr>
        <w:pStyle w:val="texte"/>
        <w:spacing w:after="113"/>
        <w:jc w:val="right"/>
        <w:rPr>
          <w:rFonts w:ascii="Myriad Pro" w:hAnsi="Myriad Pro" w:cs="Myriad Pro"/>
          <w:spacing w:val="-6"/>
        </w:rPr>
      </w:pPr>
    </w:p>
    <w:p w:rsidR="00336A8D" w:rsidRDefault="00336A8D" w:rsidP="00336A8D">
      <w:pPr>
        <w:pStyle w:val="texte"/>
        <w:suppressAutoHyphens/>
        <w:jc w:val="left"/>
        <w:rPr>
          <w:rFonts w:ascii="Myriad Pro" w:hAnsi="Myriad Pro" w:cs="Myriad Pro"/>
          <w:b/>
          <w:bCs/>
          <w:spacing w:val="-17"/>
          <w:w w:val="94"/>
          <w:sz w:val="56"/>
          <w:szCs w:val="56"/>
        </w:rPr>
      </w:pPr>
    </w:p>
    <w:p w:rsidR="00DD1858" w:rsidRPr="00336A8D" w:rsidRDefault="00DD1858">
      <w:pPr>
        <w:rPr>
          <w:lang w:val="fr-FR"/>
        </w:rPr>
      </w:pPr>
    </w:p>
    <w:sectPr w:rsidR="00DD1858" w:rsidRPr="00336A8D" w:rsidSect="00E9742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8D"/>
    <w:rsid w:val="00336A8D"/>
    <w:rsid w:val="00D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B5CF73-B9AE-49E4-AA70-99141FA1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336A8D"/>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2018-08-22T09:38:00Z</dcterms:created>
  <dcterms:modified xsi:type="dcterms:W3CDTF">2018-08-22T09:42:00Z</dcterms:modified>
</cp:coreProperties>
</file>