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1A24" w14:textId="65DDCC9F" w:rsidR="0087342F" w:rsidRDefault="0087342F" w:rsidP="000A4482">
      <w:pPr>
        <w:jc w:val="center"/>
        <w:rPr>
          <w:rFonts w:ascii="Cambria" w:hAnsi="Cambria" w:cs="Arial"/>
          <w:b/>
          <w:bCs/>
          <w:sz w:val="44"/>
          <w:szCs w:val="44"/>
          <w:lang w:val="en-US"/>
        </w:rPr>
      </w:pPr>
      <w:r>
        <w:rPr>
          <w:noProof/>
        </w:rPr>
        <w:drawing>
          <wp:anchor distT="0" distB="0" distL="114300" distR="114300" simplePos="0" relativeHeight="251658240" behindDoc="1" locked="0" layoutInCell="1" allowOverlap="1" wp14:anchorId="7F92C582" wp14:editId="7AFF9ACD">
            <wp:simplePos x="0" y="0"/>
            <wp:positionH relativeFrom="column">
              <wp:posOffset>-581025</wp:posOffset>
            </wp:positionH>
            <wp:positionV relativeFrom="paragraph">
              <wp:posOffset>0</wp:posOffset>
            </wp:positionV>
            <wp:extent cx="1905000" cy="1647825"/>
            <wp:effectExtent l="0" t="0" r="0" b="9525"/>
            <wp:wrapTight wrapText="bothSides">
              <wp:wrapPolygon edited="0">
                <wp:start x="0" y="0"/>
                <wp:lineTo x="0" y="21475"/>
                <wp:lineTo x="21384" y="21475"/>
                <wp:lineTo x="21384" y="0"/>
                <wp:lineTo x="0" y="0"/>
              </wp:wrapPolygon>
            </wp:wrapTight>
            <wp:docPr id="8" name="Image 8" descr="CSC Alimentation et Servic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Alimentation et Services | LinkedIn"/>
                    <pic:cNvPicPr>
                      <a:picLocks noChangeAspect="1" noChangeArrowheads="1"/>
                    </pic:cNvPicPr>
                  </pic:nvPicPr>
                  <pic:blipFill rotWithShape="1">
                    <a:blip r:embed="rId12">
                      <a:extLst>
                        <a:ext uri="{28A0092B-C50C-407E-A947-70E740481C1C}">
                          <a14:useLocalDpi xmlns:a14="http://schemas.microsoft.com/office/drawing/2010/main" val="0"/>
                        </a:ext>
                      </a:extLst>
                    </a:blip>
                    <a:srcRect t="-1000" b="14500"/>
                    <a:stretch/>
                  </pic:blipFill>
                  <pic:spPr bwMode="auto">
                    <a:xfrm>
                      <a:off x="0" y="0"/>
                      <a:ext cx="190500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4C6864" w14:textId="22B71CEF" w:rsidR="000B2418" w:rsidRDefault="002F5585" w:rsidP="000A4482">
      <w:pPr>
        <w:jc w:val="center"/>
        <w:rPr>
          <w:rFonts w:ascii="Cambria" w:hAnsi="Cambria" w:cs="Arial"/>
          <w:b/>
          <w:bCs/>
          <w:sz w:val="44"/>
          <w:szCs w:val="44"/>
          <w:lang w:val="en-US"/>
        </w:rPr>
      </w:pPr>
      <w:r w:rsidRPr="002F5585">
        <w:rPr>
          <w:rFonts w:ascii="Cambria" w:hAnsi="Cambria" w:cs="Arial"/>
          <w:b/>
          <w:bCs/>
          <w:sz w:val="44"/>
          <w:szCs w:val="44"/>
          <w:lang w:val="en-US"/>
        </w:rPr>
        <w:t>Profits in the food t</w:t>
      </w:r>
      <w:r>
        <w:rPr>
          <w:rFonts w:ascii="Cambria" w:hAnsi="Cambria" w:cs="Arial"/>
          <w:b/>
          <w:bCs/>
          <w:sz w:val="44"/>
          <w:szCs w:val="44"/>
          <w:lang w:val="en-US"/>
        </w:rPr>
        <w:t>rade sector :</w:t>
      </w:r>
    </w:p>
    <w:p w14:paraId="1B34A4D9" w14:textId="000B11A4" w:rsidR="002F5585" w:rsidRPr="002F5585" w:rsidRDefault="002F5585" w:rsidP="000A4482">
      <w:pPr>
        <w:jc w:val="center"/>
        <w:rPr>
          <w:rFonts w:ascii="Cambria" w:hAnsi="Cambria" w:cs="Arial"/>
          <w:b/>
          <w:bCs/>
          <w:sz w:val="44"/>
          <w:szCs w:val="44"/>
          <w:lang w:val="en-US"/>
        </w:rPr>
      </w:pPr>
      <w:r>
        <w:rPr>
          <w:rFonts w:ascii="Cambria" w:hAnsi="Cambria" w:cs="Arial"/>
          <w:b/>
          <w:bCs/>
          <w:sz w:val="44"/>
          <w:szCs w:val="44"/>
          <w:lang w:val="en-US"/>
        </w:rPr>
        <w:t>Year 2022</w:t>
      </w:r>
    </w:p>
    <w:p w14:paraId="2B66EB01" w14:textId="014C2740" w:rsidR="009F6C96" w:rsidRDefault="001A0E16" w:rsidP="000B2418">
      <w:pPr>
        <w:jc w:val="center"/>
        <w:rPr>
          <w:rFonts w:ascii="Cambria" w:hAnsi="Cambria" w:cs="Arial"/>
          <w:b/>
          <w:bCs/>
          <w:sz w:val="28"/>
          <w:szCs w:val="28"/>
          <w:lang w:val="en-US"/>
        </w:rPr>
      </w:pPr>
      <w:r>
        <w:rPr>
          <w:rFonts w:ascii="Cambria" w:hAnsi="Cambria" w:cs="Arial"/>
          <w:b/>
          <w:bCs/>
          <w:sz w:val="28"/>
          <w:szCs w:val="28"/>
          <w:lang w:val="en-US"/>
        </w:rPr>
        <w:t>_________________________</w:t>
      </w:r>
    </w:p>
    <w:p w14:paraId="16D07DE3" w14:textId="09132A9D" w:rsidR="001A0E16" w:rsidRPr="00B24DB3" w:rsidRDefault="00B24DB3" w:rsidP="00B24DB3">
      <w:pPr>
        <w:rPr>
          <w:rFonts w:ascii="Cambria" w:hAnsi="Cambria" w:cs="Arial"/>
          <w:b/>
          <w:bCs/>
          <w:sz w:val="20"/>
          <w:szCs w:val="20"/>
          <w:lang w:val="en-US"/>
        </w:rPr>
      </w:pPr>
      <w:r w:rsidRPr="00B24DB3">
        <w:rPr>
          <w:rFonts w:ascii="Cambria" w:hAnsi="Cambria" w:cs="Arial"/>
          <w:b/>
          <w:bCs/>
          <w:sz w:val="20"/>
          <w:szCs w:val="20"/>
          <w:lang w:val="en-US"/>
        </w:rPr>
        <w:t>Study department</w:t>
      </w:r>
    </w:p>
    <w:p w14:paraId="12970B6E" w14:textId="19A4DABF" w:rsidR="00854FA7" w:rsidRPr="00B24DB3" w:rsidRDefault="00854FA7" w:rsidP="00D4739F">
      <w:pPr>
        <w:jc w:val="right"/>
        <w:rPr>
          <w:rFonts w:ascii="Cambria" w:hAnsi="Cambria" w:cs="Arial"/>
          <w:sz w:val="24"/>
          <w:szCs w:val="24"/>
          <w:lang w:val="en-US"/>
        </w:rPr>
      </w:pPr>
    </w:p>
    <w:p w14:paraId="434A5EF2" w14:textId="77777777" w:rsidR="00D12948" w:rsidRDefault="00D12948" w:rsidP="00591E62">
      <w:pPr>
        <w:ind w:left="1560" w:right="1513"/>
        <w:jc w:val="both"/>
        <w:rPr>
          <w:rFonts w:ascii="Cambria" w:hAnsi="Cambria" w:cs="Arial"/>
          <w:i/>
          <w:iCs/>
          <w:sz w:val="24"/>
          <w:szCs w:val="24"/>
          <w:lang w:val="en-US"/>
        </w:rPr>
      </w:pPr>
    </w:p>
    <w:p w14:paraId="06887F1A" w14:textId="77777777" w:rsidR="00D12948" w:rsidRDefault="00D12948" w:rsidP="00591E62">
      <w:pPr>
        <w:ind w:left="1560" w:right="1513"/>
        <w:jc w:val="both"/>
        <w:rPr>
          <w:rFonts w:ascii="Cambria" w:hAnsi="Cambria" w:cs="Arial"/>
          <w:i/>
          <w:iCs/>
          <w:sz w:val="24"/>
          <w:szCs w:val="24"/>
          <w:lang w:val="en-US"/>
        </w:rPr>
      </w:pPr>
    </w:p>
    <w:p w14:paraId="754C5482" w14:textId="1321FFC0" w:rsidR="00AD6BA5" w:rsidRPr="00F86A1D" w:rsidRDefault="004A29E4" w:rsidP="00591E62">
      <w:pPr>
        <w:ind w:left="1560" w:right="1513"/>
        <w:jc w:val="both"/>
        <w:rPr>
          <w:rFonts w:ascii="Cambria" w:hAnsi="Cambria" w:cs="Arial"/>
          <w:i/>
          <w:iCs/>
          <w:sz w:val="24"/>
          <w:szCs w:val="24"/>
          <w:lang w:val="en-US"/>
        </w:rPr>
      </w:pPr>
      <w:r w:rsidRPr="00F86A1D">
        <w:rPr>
          <w:rFonts w:ascii="Cambria" w:hAnsi="Cambria" w:cs="Arial"/>
          <w:i/>
          <w:iCs/>
          <w:sz w:val="24"/>
          <w:szCs w:val="24"/>
          <w:lang w:val="en-US"/>
        </w:rPr>
        <w:t xml:space="preserve">Abstract : </w:t>
      </w:r>
      <w:r w:rsidR="002F5585" w:rsidRPr="00F86A1D">
        <w:rPr>
          <w:rFonts w:ascii="Cambria" w:hAnsi="Cambria" w:cs="Arial"/>
          <w:i/>
          <w:iCs/>
          <w:sz w:val="24"/>
          <w:szCs w:val="24"/>
          <w:lang w:val="en-US"/>
        </w:rPr>
        <w:t xml:space="preserve">This </w:t>
      </w:r>
      <w:r w:rsidR="001A0E16">
        <w:rPr>
          <w:rFonts w:ascii="Cambria" w:hAnsi="Cambria" w:cs="Arial"/>
          <w:i/>
          <w:iCs/>
          <w:sz w:val="24"/>
          <w:szCs w:val="24"/>
          <w:lang w:val="en-US"/>
        </w:rPr>
        <w:t>study</w:t>
      </w:r>
      <w:r w:rsidR="002F5585" w:rsidRPr="00F86A1D">
        <w:rPr>
          <w:rFonts w:ascii="Cambria" w:hAnsi="Cambria" w:cs="Arial"/>
          <w:i/>
          <w:iCs/>
          <w:sz w:val="24"/>
          <w:szCs w:val="24"/>
          <w:lang w:val="en-US"/>
        </w:rPr>
        <w:t xml:space="preserve"> shows the evolution of </w:t>
      </w:r>
      <w:r w:rsidR="00FE4354">
        <w:rPr>
          <w:rFonts w:ascii="Cambria" w:hAnsi="Cambria" w:cs="Arial"/>
          <w:i/>
          <w:iCs/>
          <w:sz w:val="24"/>
          <w:szCs w:val="24"/>
          <w:lang w:val="en-US"/>
        </w:rPr>
        <w:t xml:space="preserve">nominal </w:t>
      </w:r>
      <w:r w:rsidR="002F5585" w:rsidRPr="00F86A1D">
        <w:rPr>
          <w:rFonts w:ascii="Cambria" w:hAnsi="Cambria" w:cs="Arial"/>
          <w:i/>
          <w:iCs/>
          <w:sz w:val="24"/>
          <w:szCs w:val="24"/>
          <w:lang w:val="en-US"/>
        </w:rPr>
        <w:t>profits in the food trade sector</w:t>
      </w:r>
      <w:r w:rsidR="00FE37C8" w:rsidRPr="00F86A1D">
        <w:rPr>
          <w:rFonts w:ascii="Cambria" w:hAnsi="Cambria" w:cs="Arial"/>
          <w:i/>
          <w:iCs/>
          <w:sz w:val="24"/>
          <w:szCs w:val="24"/>
          <w:lang w:val="en-US"/>
        </w:rPr>
        <w:t xml:space="preserve"> (retail and wholesale) in 2022 compared to 2018-2021. It shows a </w:t>
      </w:r>
      <w:r w:rsidR="00181B26">
        <w:rPr>
          <w:rFonts w:ascii="Cambria" w:hAnsi="Cambria" w:cs="Arial"/>
          <w:i/>
          <w:iCs/>
          <w:sz w:val="24"/>
          <w:szCs w:val="24"/>
          <w:lang w:val="en-US"/>
        </w:rPr>
        <w:t xml:space="preserve">sharp </w:t>
      </w:r>
      <w:r w:rsidR="00FE37C8" w:rsidRPr="00F86A1D">
        <w:rPr>
          <w:rFonts w:ascii="Cambria" w:hAnsi="Cambria" w:cs="Arial"/>
          <w:i/>
          <w:iCs/>
          <w:sz w:val="24"/>
          <w:szCs w:val="24"/>
          <w:lang w:val="en-US"/>
        </w:rPr>
        <w:t>decline in profits in 2022</w:t>
      </w:r>
      <w:r w:rsidR="00181B26">
        <w:rPr>
          <w:rFonts w:ascii="Cambria" w:hAnsi="Cambria" w:cs="Arial"/>
          <w:i/>
          <w:iCs/>
          <w:sz w:val="24"/>
          <w:szCs w:val="24"/>
          <w:lang w:val="en-US"/>
        </w:rPr>
        <w:t xml:space="preserve"> </w:t>
      </w:r>
      <w:r w:rsidRPr="00F86A1D">
        <w:rPr>
          <w:rFonts w:ascii="Cambria" w:hAnsi="Cambria" w:cs="Arial"/>
          <w:i/>
          <w:iCs/>
          <w:sz w:val="24"/>
          <w:szCs w:val="24"/>
          <w:lang w:val="en-US"/>
        </w:rPr>
        <w:t>for large retailers</w:t>
      </w:r>
      <w:r w:rsidR="00181B26">
        <w:rPr>
          <w:rFonts w:ascii="Cambria" w:hAnsi="Cambria" w:cs="Arial"/>
          <w:i/>
          <w:iCs/>
          <w:sz w:val="24"/>
          <w:szCs w:val="24"/>
          <w:lang w:val="en-US"/>
        </w:rPr>
        <w:t xml:space="preserve"> but not for smaller ones</w:t>
      </w:r>
      <w:r w:rsidR="00B23B40" w:rsidRPr="00F86A1D">
        <w:rPr>
          <w:rFonts w:ascii="Cambria" w:hAnsi="Cambria" w:cs="Arial"/>
          <w:i/>
          <w:iCs/>
          <w:sz w:val="24"/>
          <w:szCs w:val="24"/>
          <w:lang w:val="en-US"/>
        </w:rPr>
        <w:t xml:space="preserve">. </w:t>
      </w:r>
      <w:r w:rsidR="00FE4354">
        <w:rPr>
          <w:rFonts w:ascii="Cambria" w:hAnsi="Cambria" w:cs="Arial"/>
          <w:i/>
          <w:iCs/>
          <w:sz w:val="24"/>
          <w:szCs w:val="24"/>
          <w:lang w:val="en-US"/>
        </w:rPr>
        <w:t>Aggregate</w:t>
      </w:r>
      <w:r w:rsidR="00181B26">
        <w:rPr>
          <w:rFonts w:ascii="Cambria" w:hAnsi="Cambria" w:cs="Arial"/>
          <w:i/>
          <w:iCs/>
          <w:sz w:val="24"/>
          <w:szCs w:val="24"/>
          <w:lang w:val="en-US"/>
        </w:rPr>
        <w:t xml:space="preserve"> </w:t>
      </w:r>
      <w:r w:rsidR="009F76E6">
        <w:rPr>
          <w:rFonts w:ascii="Cambria" w:hAnsi="Cambria" w:cs="Arial"/>
          <w:i/>
          <w:iCs/>
          <w:sz w:val="24"/>
          <w:szCs w:val="24"/>
          <w:lang w:val="en-US"/>
        </w:rPr>
        <w:t xml:space="preserve">operating </w:t>
      </w:r>
      <w:r w:rsidR="00181B26">
        <w:rPr>
          <w:rFonts w:ascii="Cambria" w:hAnsi="Cambria" w:cs="Arial"/>
          <w:i/>
          <w:iCs/>
          <w:sz w:val="24"/>
          <w:szCs w:val="24"/>
          <w:lang w:val="en-US"/>
        </w:rPr>
        <w:t>p</w:t>
      </w:r>
      <w:r w:rsidR="00695383">
        <w:rPr>
          <w:rFonts w:ascii="Cambria" w:hAnsi="Cambria" w:cs="Arial"/>
          <w:i/>
          <w:iCs/>
          <w:sz w:val="24"/>
          <w:szCs w:val="24"/>
          <w:lang w:val="en-US"/>
        </w:rPr>
        <w:t>rofits</w:t>
      </w:r>
      <w:r w:rsidR="00B23B40" w:rsidRPr="00F86A1D">
        <w:rPr>
          <w:rFonts w:ascii="Cambria" w:hAnsi="Cambria" w:cs="Arial"/>
          <w:i/>
          <w:iCs/>
          <w:sz w:val="24"/>
          <w:szCs w:val="24"/>
          <w:lang w:val="en-US"/>
        </w:rPr>
        <w:t xml:space="preserve"> </w:t>
      </w:r>
      <w:r w:rsidR="00795C99">
        <w:rPr>
          <w:rFonts w:ascii="Cambria" w:hAnsi="Cambria" w:cs="Arial"/>
          <w:i/>
          <w:iCs/>
          <w:sz w:val="24"/>
          <w:szCs w:val="24"/>
          <w:lang w:val="en-US"/>
        </w:rPr>
        <w:t>reach</w:t>
      </w:r>
      <w:r w:rsidR="00B23B40" w:rsidRPr="00F86A1D">
        <w:rPr>
          <w:rFonts w:ascii="Cambria" w:hAnsi="Cambria" w:cs="Arial"/>
          <w:i/>
          <w:iCs/>
          <w:sz w:val="24"/>
          <w:szCs w:val="24"/>
          <w:lang w:val="en-US"/>
        </w:rPr>
        <w:t xml:space="preserve"> </w:t>
      </w:r>
      <w:r w:rsidR="00FA7A51" w:rsidRPr="00F86A1D">
        <w:rPr>
          <w:rFonts w:ascii="Cambria" w:hAnsi="Cambria" w:cs="Arial"/>
          <w:i/>
          <w:iCs/>
          <w:sz w:val="24"/>
          <w:szCs w:val="24"/>
          <w:lang w:val="en-US"/>
        </w:rPr>
        <w:t>their 2019 level.</w:t>
      </w:r>
      <w:r w:rsidR="00ED614E">
        <w:rPr>
          <w:rFonts w:ascii="Cambria" w:hAnsi="Cambria" w:cs="Arial"/>
          <w:i/>
          <w:iCs/>
          <w:sz w:val="24"/>
          <w:szCs w:val="24"/>
          <w:lang w:val="en-US"/>
        </w:rPr>
        <w:t xml:space="preserve"> Shareholder’s compensation </w:t>
      </w:r>
      <w:r w:rsidR="00A5714E">
        <w:rPr>
          <w:rFonts w:ascii="Cambria" w:hAnsi="Cambria" w:cs="Arial"/>
          <w:i/>
          <w:iCs/>
          <w:sz w:val="24"/>
          <w:szCs w:val="24"/>
          <w:lang w:val="en-US"/>
        </w:rPr>
        <w:t xml:space="preserve">also reaches </w:t>
      </w:r>
      <w:r w:rsidR="00695383">
        <w:rPr>
          <w:rFonts w:ascii="Cambria" w:hAnsi="Cambria" w:cs="Arial"/>
          <w:i/>
          <w:iCs/>
          <w:sz w:val="24"/>
          <w:szCs w:val="24"/>
          <w:lang w:val="en-US"/>
        </w:rPr>
        <w:t>its</w:t>
      </w:r>
      <w:r w:rsidR="00A5714E">
        <w:rPr>
          <w:rFonts w:ascii="Cambria" w:hAnsi="Cambria" w:cs="Arial"/>
          <w:i/>
          <w:iCs/>
          <w:sz w:val="24"/>
          <w:szCs w:val="24"/>
          <w:lang w:val="en-US"/>
        </w:rPr>
        <w:t xml:space="preserve"> 2019</w:t>
      </w:r>
      <w:r w:rsidR="00695383">
        <w:rPr>
          <w:rFonts w:ascii="Cambria" w:hAnsi="Cambria" w:cs="Arial"/>
          <w:i/>
          <w:iCs/>
          <w:sz w:val="24"/>
          <w:szCs w:val="24"/>
          <w:lang w:val="en-US"/>
        </w:rPr>
        <w:t xml:space="preserve"> level.</w:t>
      </w:r>
      <w:r w:rsidR="00CE67DC">
        <w:rPr>
          <w:rFonts w:ascii="Cambria" w:hAnsi="Cambria" w:cs="Arial"/>
          <w:i/>
          <w:iCs/>
          <w:sz w:val="24"/>
          <w:szCs w:val="24"/>
          <w:lang w:val="en-US"/>
        </w:rPr>
        <w:t xml:space="preserve"> </w:t>
      </w:r>
      <w:r w:rsidR="00CE67DC" w:rsidRPr="00CE67DC">
        <w:rPr>
          <w:rFonts w:ascii="Cambria" w:hAnsi="Cambria" w:cs="Arial"/>
          <w:i/>
          <w:iCs/>
          <w:sz w:val="24"/>
          <w:szCs w:val="24"/>
          <w:lang w:val="en-US"/>
        </w:rPr>
        <w:t>If half the profits were shared among the sector's workers, each would receive a gross amount</w:t>
      </w:r>
      <w:r w:rsidR="006E08B1">
        <w:rPr>
          <w:rFonts w:ascii="Cambria" w:hAnsi="Cambria" w:cs="Arial"/>
          <w:i/>
          <w:iCs/>
          <w:sz w:val="24"/>
          <w:szCs w:val="24"/>
          <w:lang w:val="en-US"/>
        </w:rPr>
        <w:t xml:space="preserve"> </w:t>
      </w:r>
      <w:r w:rsidR="00D2567F">
        <w:rPr>
          <w:rFonts w:ascii="Cambria" w:hAnsi="Cambria" w:cs="Arial"/>
          <w:i/>
          <w:iCs/>
          <w:sz w:val="24"/>
          <w:szCs w:val="24"/>
          <w:lang w:val="en-US"/>
        </w:rPr>
        <w:t>of more than 4000</w:t>
      </w:r>
      <w:r w:rsidR="006E08B1">
        <w:rPr>
          <w:rFonts w:ascii="Cambria" w:hAnsi="Cambria" w:cs="Arial"/>
          <w:i/>
          <w:iCs/>
          <w:sz w:val="24"/>
          <w:szCs w:val="24"/>
          <w:lang w:val="en-US"/>
        </w:rPr>
        <w:t xml:space="preserve"> euros.</w:t>
      </w:r>
    </w:p>
    <w:p w14:paraId="2AFE7216" w14:textId="77777777" w:rsidR="00C0796F" w:rsidRDefault="00C0796F" w:rsidP="00C0796F">
      <w:pPr>
        <w:rPr>
          <w:rFonts w:ascii="Cambria" w:hAnsi="Cambria" w:cs="Arial"/>
          <w:sz w:val="24"/>
          <w:szCs w:val="24"/>
          <w:lang w:val="en-US"/>
        </w:rPr>
      </w:pPr>
    </w:p>
    <w:p w14:paraId="19A70AE5" w14:textId="77777777" w:rsidR="00D12948" w:rsidRDefault="00D12948" w:rsidP="00C0796F">
      <w:pPr>
        <w:rPr>
          <w:rFonts w:ascii="Cambria" w:hAnsi="Cambria" w:cs="Arial"/>
          <w:sz w:val="24"/>
          <w:szCs w:val="24"/>
          <w:lang w:val="en-US"/>
        </w:rPr>
      </w:pPr>
    </w:p>
    <w:p w14:paraId="63CE8F1C" w14:textId="77777777" w:rsidR="00D12948" w:rsidRPr="00D2567F" w:rsidRDefault="00D12948" w:rsidP="00C0796F">
      <w:pPr>
        <w:rPr>
          <w:rFonts w:ascii="Cambria" w:hAnsi="Cambria" w:cs="Arial"/>
          <w:sz w:val="24"/>
          <w:szCs w:val="24"/>
          <w:lang w:val="en-US"/>
        </w:rPr>
      </w:pPr>
    </w:p>
    <w:p w14:paraId="57B19CC8" w14:textId="57928E6F" w:rsidR="00C0796F" w:rsidRPr="00795C99" w:rsidRDefault="00D5593C" w:rsidP="00C0796F">
      <w:pPr>
        <w:rPr>
          <w:rFonts w:ascii="Cambria" w:hAnsi="Cambria" w:cs="Arial"/>
          <w:sz w:val="24"/>
          <w:szCs w:val="24"/>
          <w:lang w:val="en-US"/>
        </w:rPr>
      </w:pPr>
      <w:r w:rsidRPr="00795C99">
        <w:rPr>
          <w:rFonts w:ascii="Cambria" w:hAnsi="Cambria" w:cs="Arial"/>
          <w:sz w:val="24"/>
          <w:szCs w:val="24"/>
          <w:lang w:val="en-US"/>
        </w:rPr>
        <w:t xml:space="preserve">Date: </w:t>
      </w:r>
      <w:r w:rsidR="00C0796F" w:rsidRPr="00795C99">
        <w:rPr>
          <w:rFonts w:ascii="Cambria" w:hAnsi="Cambria" w:cs="Arial"/>
          <w:sz w:val="24"/>
          <w:szCs w:val="24"/>
          <w:lang w:val="en-US"/>
        </w:rPr>
        <w:t>06/11/2023</w:t>
      </w:r>
    </w:p>
    <w:p w14:paraId="53D87A00" w14:textId="4D22DC62" w:rsidR="00C0796F" w:rsidRPr="00795C99" w:rsidRDefault="00B24DB3" w:rsidP="00C0796F">
      <w:pPr>
        <w:rPr>
          <w:rFonts w:ascii="Cambria" w:hAnsi="Cambria" w:cs="Arial"/>
          <w:sz w:val="24"/>
          <w:szCs w:val="24"/>
          <w:lang w:val="en-US"/>
        </w:rPr>
      </w:pPr>
      <w:r w:rsidRPr="00795C99">
        <w:rPr>
          <w:rFonts w:ascii="Cambria" w:hAnsi="Cambria" w:cs="Arial"/>
          <w:sz w:val="24"/>
          <w:szCs w:val="24"/>
          <w:lang w:val="en-US"/>
        </w:rPr>
        <w:t>Writing</w:t>
      </w:r>
      <w:r w:rsidR="00C0796F" w:rsidRPr="00795C99">
        <w:rPr>
          <w:rFonts w:ascii="Cambria" w:hAnsi="Cambria" w:cs="Arial"/>
          <w:sz w:val="24"/>
          <w:szCs w:val="24"/>
          <w:lang w:val="en-US"/>
        </w:rPr>
        <w:t>: Olivier Malay</w:t>
      </w:r>
    </w:p>
    <w:p w14:paraId="408813D9" w14:textId="63170558" w:rsidR="00D5593C" w:rsidRPr="00795C99" w:rsidRDefault="00D5593C" w:rsidP="00C0796F">
      <w:pPr>
        <w:rPr>
          <w:rFonts w:ascii="Cambria" w:hAnsi="Cambria" w:cs="Arial"/>
          <w:sz w:val="24"/>
          <w:szCs w:val="24"/>
          <w:lang w:val="en-US"/>
        </w:rPr>
      </w:pPr>
      <w:r w:rsidRPr="00795C99">
        <w:rPr>
          <w:rFonts w:ascii="Cambria" w:hAnsi="Cambria" w:cs="Arial"/>
          <w:sz w:val="24"/>
          <w:szCs w:val="24"/>
          <w:lang w:val="en-US"/>
        </w:rPr>
        <w:t xml:space="preserve">Place: </w:t>
      </w:r>
      <w:r w:rsidR="00DB5029" w:rsidRPr="00795C99">
        <w:rPr>
          <w:rFonts w:ascii="Cambria" w:hAnsi="Cambria" w:cs="Arial"/>
          <w:sz w:val="24"/>
          <w:szCs w:val="24"/>
          <w:lang w:val="en-US"/>
        </w:rPr>
        <w:t xml:space="preserve">70 </w:t>
      </w:r>
      <w:proofErr w:type="spellStart"/>
      <w:r w:rsidR="00DB5029" w:rsidRPr="00795C99">
        <w:rPr>
          <w:rFonts w:ascii="Cambria" w:hAnsi="Cambria" w:cs="Arial"/>
          <w:sz w:val="24"/>
          <w:szCs w:val="24"/>
          <w:lang w:val="en-US"/>
        </w:rPr>
        <w:t>Kartuizerstraat</w:t>
      </w:r>
      <w:proofErr w:type="spellEnd"/>
      <w:r w:rsidR="00DB5029" w:rsidRPr="00795C99">
        <w:rPr>
          <w:rFonts w:ascii="Cambria" w:hAnsi="Cambria" w:cs="Arial"/>
          <w:sz w:val="24"/>
          <w:szCs w:val="24"/>
          <w:lang w:val="en-US"/>
        </w:rPr>
        <w:t xml:space="preserve">, 1000 </w:t>
      </w:r>
      <w:r w:rsidRPr="00795C99">
        <w:rPr>
          <w:rFonts w:ascii="Cambria" w:hAnsi="Cambria" w:cs="Arial"/>
          <w:sz w:val="24"/>
          <w:szCs w:val="24"/>
          <w:lang w:val="en-US"/>
        </w:rPr>
        <w:t>Brussels</w:t>
      </w:r>
      <w:r w:rsidR="00DB5029" w:rsidRPr="00795C99">
        <w:rPr>
          <w:rFonts w:ascii="Cambria" w:hAnsi="Cambria" w:cs="Arial"/>
          <w:sz w:val="24"/>
          <w:szCs w:val="24"/>
          <w:lang w:val="en-US"/>
        </w:rPr>
        <w:t>.</w:t>
      </w:r>
    </w:p>
    <w:p w14:paraId="6C173244" w14:textId="77777777" w:rsidR="00FA7A51" w:rsidRPr="00F86A1D" w:rsidRDefault="00FA7A51" w:rsidP="00FA7A51">
      <w:pPr>
        <w:ind w:right="1513"/>
        <w:jc w:val="both"/>
        <w:rPr>
          <w:rFonts w:ascii="Cambria" w:hAnsi="Cambria" w:cs="Arial"/>
          <w:i/>
          <w:iCs/>
          <w:sz w:val="24"/>
          <w:szCs w:val="24"/>
          <w:lang w:val="en-US"/>
        </w:rPr>
      </w:pPr>
    </w:p>
    <w:p w14:paraId="2D9266CB" w14:textId="71B268A0" w:rsidR="00D12948" w:rsidRDefault="00D12948" w:rsidP="00591E62">
      <w:pPr>
        <w:ind w:left="1560" w:right="1513"/>
        <w:jc w:val="both"/>
        <w:rPr>
          <w:rFonts w:ascii="Cambria" w:hAnsi="Cambria" w:cs="Arial"/>
          <w:i/>
          <w:iCs/>
          <w:sz w:val="24"/>
          <w:szCs w:val="24"/>
          <w:lang w:val="en-US"/>
        </w:rPr>
      </w:pPr>
    </w:p>
    <w:p w14:paraId="6464B5F6" w14:textId="77777777" w:rsidR="00D12948" w:rsidRDefault="00D12948">
      <w:pPr>
        <w:rPr>
          <w:rFonts w:ascii="Cambria" w:hAnsi="Cambria" w:cs="Arial"/>
          <w:i/>
          <w:iCs/>
          <w:sz w:val="24"/>
          <w:szCs w:val="24"/>
          <w:lang w:val="en-US"/>
        </w:rPr>
      </w:pPr>
      <w:r>
        <w:rPr>
          <w:rFonts w:ascii="Cambria" w:hAnsi="Cambria" w:cs="Arial"/>
          <w:i/>
          <w:iCs/>
          <w:sz w:val="24"/>
          <w:szCs w:val="24"/>
          <w:lang w:val="en-US"/>
        </w:rPr>
        <w:br w:type="page"/>
      </w:r>
    </w:p>
    <w:p w14:paraId="2513550C" w14:textId="5B8FC990" w:rsidR="00D12948" w:rsidRDefault="00D12948" w:rsidP="00591E62">
      <w:pPr>
        <w:ind w:left="1560" w:right="1513"/>
        <w:jc w:val="both"/>
        <w:rPr>
          <w:rFonts w:ascii="Cambria" w:hAnsi="Cambria" w:cs="Arial"/>
          <w:i/>
          <w:iCs/>
          <w:sz w:val="24"/>
          <w:szCs w:val="24"/>
          <w:lang w:val="en-US"/>
        </w:rPr>
      </w:pPr>
    </w:p>
    <w:p w14:paraId="0C52FB3D" w14:textId="5E1B7A22" w:rsidR="00AD6BA5" w:rsidRPr="001C6303" w:rsidRDefault="00AD6BA5" w:rsidP="00AD6BA5">
      <w:pPr>
        <w:pStyle w:val="Paragraphedeliste"/>
        <w:numPr>
          <w:ilvl w:val="0"/>
          <w:numId w:val="1"/>
        </w:numPr>
        <w:jc w:val="both"/>
        <w:rPr>
          <w:rFonts w:ascii="Cambria" w:hAnsi="Cambria" w:cs="Arial"/>
          <w:b/>
          <w:bCs/>
          <w:sz w:val="28"/>
          <w:szCs w:val="28"/>
        </w:rPr>
      </w:pPr>
      <w:r w:rsidRPr="001C6303">
        <w:rPr>
          <w:rFonts w:ascii="Cambria" w:hAnsi="Cambria" w:cs="Arial"/>
          <w:b/>
          <w:bCs/>
          <w:sz w:val="28"/>
          <w:szCs w:val="28"/>
        </w:rPr>
        <w:t>Introduction</w:t>
      </w:r>
    </w:p>
    <w:p w14:paraId="65CB4154" w14:textId="4CE6B24C" w:rsidR="002B2A5E" w:rsidRDefault="00F86A1D" w:rsidP="00F86A1D">
      <w:pPr>
        <w:ind w:firstLine="708"/>
        <w:jc w:val="both"/>
        <w:rPr>
          <w:rFonts w:ascii="Cambria" w:hAnsi="Cambria" w:cs="Arial"/>
          <w:sz w:val="24"/>
          <w:szCs w:val="24"/>
          <w:lang w:val="en-US"/>
        </w:rPr>
      </w:pPr>
      <w:r w:rsidRPr="00F86A1D">
        <w:rPr>
          <w:rFonts w:ascii="Cambria" w:hAnsi="Cambria" w:cs="Arial"/>
          <w:sz w:val="24"/>
          <w:szCs w:val="24"/>
          <w:lang w:val="en-US"/>
        </w:rPr>
        <w:t xml:space="preserve">The food </w:t>
      </w:r>
      <w:r w:rsidR="00253FB7">
        <w:rPr>
          <w:rFonts w:ascii="Cambria" w:hAnsi="Cambria" w:cs="Arial"/>
          <w:sz w:val="24"/>
          <w:szCs w:val="24"/>
          <w:lang w:val="en-US"/>
        </w:rPr>
        <w:t>trade</w:t>
      </w:r>
      <w:r w:rsidRPr="00F86A1D">
        <w:rPr>
          <w:rFonts w:ascii="Cambria" w:hAnsi="Cambria" w:cs="Arial"/>
          <w:sz w:val="24"/>
          <w:szCs w:val="24"/>
          <w:lang w:val="en-US"/>
        </w:rPr>
        <w:t xml:space="preserve"> sector experienced a boom in 2020 following the Covid-related confinements. In 2021, profits have </w:t>
      </w:r>
      <w:r w:rsidR="00F430C7">
        <w:rPr>
          <w:rFonts w:ascii="Cambria" w:hAnsi="Cambria" w:cs="Arial"/>
          <w:sz w:val="24"/>
          <w:szCs w:val="24"/>
          <w:lang w:val="en-US"/>
        </w:rPr>
        <w:t xml:space="preserve">progressively </w:t>
      </w:r>
      <w:r w:rsidRPr="00F86A1D">
        <w:rPr>
          <w:rFonts w:ascii="Cambria" w:hAnsi="Cambria" w:cs="Arial"/>
          <w:sz w:val="24"/>
          <w:szCs w:val="24"/>
          <w:lang w:val="en-US"/>
        </w:rPr>
        <w:t>returned to more normal levels. In 2022, the sector faced a series of challenges: rising food and packaging costs, energy prices</w:t>
      </w:r>
      <w:r w:rsidR="00276B95">
        <w:rPr>
          <w:rFonts w:ascii="Cambria" w:hAnsi="Cambria" w:cs="Arial"/>
          <w:sz w:val="24"/>
          <w:szCs w:val="24"/>
          <w:lang w:val="en-US"/>
        </w:rPr>
        <w:t>, transport costs</w:t>
      </w:r>
      <w:r w:rsidRPr="00F86A1D">
        <w:rPr>
          <w:rFonts w:ascii="Cambria" w:hAnsi="Cambria" w:cs="Arial"/>
          <w:sz w:val="24"/>
          <w:szCs w:val="24"/>
          <w:lang w:val="en-US"/>
        </w:rPr>
        <w:t xml:space="preserve"> and wages. At the same time, the food retail sector raised its prices to offset the various cost increases. What is the final impact of these two trends on profits? If there is a drop in profitability, how big is it?</w:t>
      </w:r>
    </w:p>
    <w:p w14:paraId="2FDCB59A" w14:textId="77777777" w:rsidR="001B111D" w:rsidRDefault="001B111D" w:rsidP="00F86A1D">
      <w:pPr>
        <w:ind w:firstLine="708"/>
        <w:jc w:val="both"/>
        <w:rPr>
          <w:rFonts w:ascii="Cambria" w:hAnsi="Cambria" w:cs="Arial"/>
          <w:sz w:val="24"/>
          <w:szCs w:val="24"/>
          <w:lang w:val="en-US"/>
        </w:rPr>
      </w:pPr>
    </w:p>
    <w:p w14:paraId="00216B40" w14:textId="729F6472" w:rsidR="00276B95" w:rsidRPr="001B111D" w:rsidRDefault="00276B95" w:rsidP="001B111D">
      <w:pPr>
        <w:pStyle w:val="Paragraphedeliste"/>
        <w:numPr>
          <w:ilvl w:val="0"/>
          <w:numId w:val="1"/>
        </w:numPr>
        <w:jc w:val="both"/>
        <w:rPr>
          <w:rFonts w:ascii="Cambria" w:hAnsi="Cambria" w:cs="Arial"/>
          <w:b/>
          <w:bCs/>
          <w:sz w:val="28"/>
          <w:szCs w:val="28"/>
        </w:rPr>
      </w:pPr>
      <w:proofErr w:type="spellStart"/>
      <w:r w:rsidRPr="001C6303">
        <w:rPr>
          <w:rFonts w:ascii="Cambria" w:hAnsi="Cambria" w:cs="Arial"/>
          <w:b/>
          <w:bCs/>
          <w:sz w:val="28"/>
          <w:szCs w:val="28"/>
        </w:rPr>
        <w:t>Methodology</w:t>
      </w:r>
      <w:proofErr w:type="spellEnd"/>
    </w:p>
    <w:p w14:paraId="73073CA0" w14:textId="43333D80" w:rsidR="00DB2339" w:rsidRPr="00DB2339" w:rsidRDefault="00DB2339" w:rsidP="00DB2339">
      <w:pPr>
        <w:ind w:firstLine="708"/>
        <w:jc w:val="both"/>
        <w:rPr>
          <w:rFonts w:ascii="Cambria" w:hAnsi="Cambria" w:cs="Arial"/>
          <w:sz w:val="24"/>
          <w:szCs w:val="24"/>
          <w:lang w:val="en-US"/>
        </w:rPr>
      </w:pPr>
      <w:r w:rsidRPr="00DB2339">
        <w:rPr>
          <w:rFonts w:ascii="Cambria" w:hAnsi="Cambria" w:cs="Arial"/>
          <w:sz w:val="24"/>
          <w:szCs w:val="24"/>
          <w:lang w:val="en-US"/>
        </w:rPr>
        <w:t>The data used are the company accounting data publicly available on the website of the National Bank of Belgium.</w:t>
      </w:r>
      <w:r w:rsidR="00EC6A47">
        <w:rPr>
          <w:rFonts w:ascii="Cambria" w:hAnsi="Cambria" w:cs="Arial"/>
          <w:sz w:val="24"/>
          <w:szCs w:val="24"/>
          <w:lang w:val="en-US"/>
        </w:rPr>
        <w:t xml:space="preserve"> </w:t>
      </w:r>
      <w:r w:rsidR="00EC6A47" w:rsidRPr="00EC6A47">
        <w:rPr>
          <w:rFonts w:ascii="Cambria" w:hAnsi="Cambria" w:cs="Arial"/>
          <w:sz w:val="24"/>
          <w:szCs w:val="24"/>
          <w:lang w:val="en-US"/>
        </w:rPr>
        <w:t>The sector figures presented are aggregates of information from individual companies.</w:t>
      </w:r>
    </w:p>
    <w:p w14:paraId="24422433" w14:textId="0649B8E4" w:rsidR="00DB2339" w:rsidRPr="00DB2339" w:rsidRDefault="00DB2339" w:rsidP="003B3DEB">
      <w:pPr>
        <w:ind w:firstLine="708"/>
        <w:jc w:val="both"/>
        <w:rPr>
          <w:rFonts w:ascii="Cambria" w:hAnsi="Cambria" w:cs="Arial"/>
          <w:sz w:val="24"/>
          <w:szCs w:val="24"/>
          <w:lang w:val="en-US"/>
        </w:rPr>
      </w:pPr>
      <w:r w:rsidRPr="00DB2339">
        <w:rPr>
          <w:rFonts w:ascii="Cambria" w:hAnsi="Cambria" w:cs="Arial"/>
          <w:sz w:val="24"/>
          <w:szCs w:val="24"/>
          <w:lang w:val="en-US"/>
        </w:rPr>
        <w:t>The profit indicator used is operating profit (code 9901)</w:t>
      </w:r>
      <w:r w:rsidR="00EC6A47">
        <w:rPr>
          <w:rFonts w:ascii="Cambria" w:hAnsi="Cambria" w:cs="Arial"/>
          <w:sz w:val="24"/>
          <w:szCs w:val="24"/>
          <w:lang w:val="en-US"/>
        </w:rPr>
        <w:t xml:space="preserve">, </w:t>
      </w:r>
      <w:r w:rsidR="00EC6A47" w:rsidRPr="00EC6A47">
        <w:rPr>
          <w:rFonts w:ascii="Cambria" w:hAnsi="Cambria" w:cs="Arial"/>
          <w:sz w:val="24"/>
          <w:szCs w:val="24"/>
          <w:lang w:val="en-US"/>
        </w:rPr>
        <w:t>i.e. the profit on sales transactions</w:t>
      </w:r>
      <w:r w:rsidRPr="00DB2339">
        <w:rPr>
          <w:rFonts w:ascii="Cambria" w:hAnsi="Cambria" w:cs="Arial"/>
          <w:sz w:val="24"/>
          <w:szCs w:val="24"/>
          <w:lang w:val="en-US"/>
        </w:rPr>
        <w:t>. This measure is preferred to profit after tax (code 9904)</w:t>
      </w:r>
      <w:r w:rsidR="00EC6A47">
        <w:rPr>
          <w:rFonts w:ascii="Cambria" w:hAnsi="Cambria" w:cs="Arial"/>
          <w:sz w:val="24"/>
          <w:szCs w:val="24"/>
          <w:lang w:val="en-US"/>
        </w:rPr>
        <w:t xml:space="preserve"> because profit </w:t>
      </w:r>
      <w:r w:rsidRPr="00DB2339">
        <w:rPr>
          <w:rFonts w:ascii="Cambria" w:hAnsi="Cambria" w:cs="Arial"/>
          <w:sz w:val="24"/>
          <w:szCs w:val="24"/>
          <w:lang w:val="en-US"/>
        </w:rPr>
        <w:t xml:space="preserve">after tax takes into account not only tax but also the financial result of companies. However, this can seriously bias the analysis. For example, in 2022, the operating profit of the Franz Colruyt legal entity is €161 million, whereas its profit after tax is €1.8 billion. The difference is explained by the resale of subsidiaries. However, </w:t>
      </w:r>
      <w:r w:rsidR="00EC6A47">
        <w:rPr>
          <w:rFonts w:ascii="Cambria" w:hAnsi="Cambria" w:cs="Arial"/>
          <w:sz w:val="24"/>
          <w:szCs w:val="24"/>
          <w:lang w:val="en-US"/>
        </w:rPr>
        <w:t>the present study</w:t>
      </w:r>
      <w:r w:rsidRPr="00DB2339">
        <w:rPr>
          <w:rFonts w:ascii="Cambria" w:hAnsi="Cambria" w:cs="Arial"/>
          <w:sz w:val="24"/>
          <w:szCs w:val="24"/>
          <w:lang w:val="en-US"/>
        </w:rPr>
        <w:t xml:space="preserve"> aims to assess the profitability of commercial activities, not the resale activities of subsidiaries. Operating profit is therefore used. Tax paid is shown separately for information purposes.</w:t>
      </w:r>
    </w:p>
    <w:p w14:paraId="28BC0768" w14:textId="7E102E47" w:rsidR="001B1232" w:rsidRPr="001B1232" w:rsidRDefault="00DB2339" w:rsidP="001B1232">
      <w:pPr>
        <w:ind w:firstLine="708"/>
        <w:jc w:val="both"/>
        <w:rPr>
          <w:rFonts w:ascii="Cambria" w:hAnsi="Cambria" w:cs="Arial"/>
          <w:sz w:val="24"/>
          <w:szCs w:val="24"/>
          <w:lang w:val="en-US"/>
        </w:rPr>
      </w:pPr>
      <w:r w:rsidRPr="00DB2339">
        <w:rPr>
          <w:rFonts w:ascii="Cambria" w:hAnsi="Cambria" w:cs="Arial"/>
          <w:sz w:val="24"/>
          <w:szCs w:val="24"/>
          <w:lang w:val="en-US"/>
        </w:rPr>
        <w:t>Turnover is not available for most small companies, which are not obliged to disclose it. Sectoral data on sales therefore relate only to medium-sized and large companies.</w:t>
      </w:r>
      <w:r w:rsidR="001B1232">
        <w:rPr>
          <w:rFonts w:ascii="Cambria" w:hAnsi="Cambria" w:cs="Arial"/>
          <w:sz w:val="24"/>
          <w:szCs w:val="24"/>
          <w:lang w:val="en-US"/>
        </w:rPr>
        <w:t xml:space="preserve"> </w:t>
      </w:r>
      <w:r w:rsidR="001B1232" w:rsidRPr="001B1232">
        <w:rPr>
          <w:rFonts w:ascii="Cambria" w:hAnsi="Cambria" w:cs="Arial"/>
          <w:sz w:val="24"/>
          <w:szCs w:val="24"/>
          <w:lang w:val="en-US"/>
        </w:rPr>
        <w:t xml:space="preserve">The number of workers in 2022 is also sometimes not available for small businesses. In this case, it is estimated on the basis of different parameters (number of employees </w:t>
      </w:r>
      <w:r w:rsidR="00421511">
        <w:rPr>
          <w:rFonts w:ascii="Cambria" w:hAnsi="Cambria" w:cs="Arial"/>
          <w:sz w:val="24"/>
          <w:szCs w:val="24"/>
          <w:lang w:val="en-US"/>
        </w:rPr>
        <w:t xml:space="preserve">in </w:t>
      </w:r>
      <w:r w:rsidR="001B1232" w:rsidRPr="001B1232">
        <w:rPr>
          <w:rFonts w:ascii="Cambria" w:hAnsi="Cambria" w:cs="Arial"/>
          <w:sz w:val="24"/>
          <w:szCs w:val="24"/>
          <w:lang w:val="en-US"/>
        </w:rPr>
        <w:t>2021 or personnel costs). For micro-businesses where the number of employees was not given, it was estimated at 1.</w:t>
      </w:r>
    </w:p>
    <w:p w14:paraId="489FA433" w14:textId="3C236397" w:rsidR="001B1232" w:rsidRDefault="001B1232" w:rsidP="001B1232">
      <w:pPr>
        <w:ind w:firstLine="708"/>
        <w:jc w:val="both"/>
        <w:rPr>
          <w:rFonts w:ascii="Cambria" w:hAnsi="Cambria" w:cs="Arial"/>
          <w:sz w:val="24"/>
          <w:szCs w:val="24"/>
          <w:lang w:val="en-US"/>
        </w:rPr>
      </w:pPr>
      <w:r w:rsidRPr="001B1232">
        <w:rPr>
          <w:rFonts w:ascii="Cambria" w:hAnsi="Cambria" w:cs="Arial"/>
          <w:sz w:val="24"/>
          <w:szCs w:val="24"/>
          <w:lang w:val="en-US"/>
        </w:rPr>
        <w:t xml:space="preserve">The scope of the analysis includes companies belonging either to joint committee (JC) 119 for the food trade, or to NACE Code 47.01 Retail sale in non-specialized stores with food. The 2020 edition of this study focused on JC119. The 2021 edition focused on NACE code 47.01. Two-thirds of the companies in these two entities are common. Bringing them together provides the most representative overview of the food trade, and this methodology will be maintained in future editions. Limiting ourselves to </w:t>
      </w:r>
      <w:r w:rsidR="003847F5">
        <w:rPr>
          <w:rFonts w:ascii="Cambria" w:hAnsi="Cambria" w:cs="Arial"/>
          <w:sz w:val="24"/>
          <w:szCs w:val="24"/>
          <w:lang w:val="en-US"/>
        </w:rPr>
        <w:t>JC</w:t>
      </w:r>
      <w:r w:rsidRPr="001B1232">
        <w:rPr>
          <w:rFonts w:ascii="Cambria" w:hAnsi="Cambria" w:cs="Arial"/>
          <w:sz w:val="24"/>
          <w:szCs w:val="24"/>
          <w:lang w:val="en-US"/>
        </w:rPr>
        <w:t xml:space="preserve"> 119 omits certain large shops such as Lidl and Carrefour. Limiting ourselves to NACE code 47.01 leaves out certain </w:t>
      </w:r>
      <w:r w:rsidR="00EC6A47">
        <w:rPr>
          <w:rFonts w:ascii="Cambria" w:hAnsi="Cambria" w:cs="Arial"/>
          <w:sz w:val="24"/>
          <w:szCs w:val="24"/>
          <w:lang w:val="en-US"/>
        </w:rPr>
        <w:t xml:space="preserve">major </w:t>
      </w:r>
      <w:r w:rsidRPr="001B1232">
        <w:rPr>
          <w:rFonts w:ascii="Cambria" w:hAnsi="Cambria" w:cs="Arial"/>
          <w:sz w:val="24"/>
          <w:szCs w:val="24"/>
          <w:lang w:val="en-US"/>
        </w:rPr>
        <w:t xml:space="preserve">companies involved in the food wholesale trade. And wanting to include them via the NACE46.3 code also brings into the analysis many food industry companies that have </w:t>
      </w:r>
      <w:r w:rsidR="00EC6A47">
        <w:rPr>
          <w:rFonts w:ascii="Cambria" w:hAnsi="Cambria" w:cs="Arial"/>
          <w:sz w:val="24"/>
          <w:szCs w:val="24"/>
          <w:lang w:val="en-US"/>
        </w:rPr>
        <w:t>little</w:t>
      </w:r>
      <w:r w:rsidRPr="001B1232">
        <w:rPr>
          <w:rFonts w:ascii="Cambria" w:hAnsi="Cambria" w:cs="Arial"/>
          <w:sz w:val="24"/>
          <w:szCs w:val="24"/>
          <w:lang w:val="en-US"/>
        </w:rPr>
        <w:t xml:space="preserve"> business being there (Unilever, Philippe Morris, etc.). Taking CP119 and NACE47.01 together seem</w:t>
      </w:r>
      <w:r w:rsidR="003847F5">
        <w:rPr>
          <w:rFonts w:ascii="Cambria" w:hAnsi="Cambria" w:cs="Arial"/>
          <w:sz w:val="24"/>
          <w:szCs w:val="24"/>
          <w:lang w:val="en-US"/>
        </w:rPr>
        <w:t>s</w:t>
      </w:r>
      <w:r w:rsidRPr="001B1232">
        <w:rPr>
          <w:rFonts w:ascii="Cambria" w:hAnsi="Cambria" w:cs="Arial"/>
          <w:sz w:val="24"/>
          <w:szCs w:val="24"/>
          <w:lang w:val="en-US"/>
        </w:rPr>
        <w:t xml:space="preserve"> to be the best way of getting an overview of the food </w:t>
      </w:r>
      <w:r>
        <w:rPr>
          <w:rFonts w:ascii="Cambria" w:hAnsi="Cambria" w:cs="Arial"/>
          <w:sz w:val="24"/>
          <w:szCs w:val="24"/>
          <w:lang w:val="en-US"/>
        </w:rPr>
        <w:t>trade</w:t>
      </w:r>
      <w:r w:rsidRPr="001B1232">
        <w:rPr>
          <w:rFonts w:ascii="Cambria" w:hAnsi="Cambria" w:cs="Arial"/>
          <w:sz w:val="24"/>
          <w:szCs w:val="24"/>
          <w:lang w:val="en-US"/>
        </w:rPr>
        <w:t xml:space="preserve"> sector.</w:t>
      </w:r>
    </w:p>
    <w:p w14:paraId="7BA61F73" w14:textId="1D41FEA7" w:rsidR="009A0ED2" w:rsidRDefault="009A0ED2" w:rsidP="001B1232">
      <w:pPr>
        <w:ind w:firstLine="708"/>
        <w:jc w:val="both"/>
        <w:rPr>
          <w:rFonts w:ascii="Cambria" w:hAnsi="Cambria" w:cs="Arial"/>
          <w:sz w:val="24"/>
          <w:szCs w:val="24"/>
          <w:lang w:val="en-US"/>
        </w:rPr>
      </w:pPr>
      <w:r w:rsidRPr="009A0ED2">
        <w:rPr>
          <w:rFonts w:ascii="Cambria" w:hAnsi="Cambria" w:cs="Arial"/>
          <w:sz w:val="24"/>
          <w:szCs w:val="24"/>
          <w:lang w:val="en-US"/>
        </w:rPr>
        <w:lastRenderedPageBreak/>
        <w:t>Only legal entities with their registered office in Belgium were selected. In total, 14</w:t>
      </w:r>
      <w:r w:rsidR="00EC6A47">
        <w:rPr>
          <w:rFonts w:ascii="Cambria" w:hAnsi="Cambria" w:cs="Arial"/>
          <w:sz w:val="24"/>
          <w:szCs w:val="24"/>
          <w:lang w:val="en-US"/>
        </w:rPr>
        <w:t xml:space="preserve"> </w:t>
      </w:r>
      <w:r w:rsidRPr="009A0ED2">
        <w:rPr>
          <w:rFonts w:ascii="Cambria" w:hAnsi="Cambria" w:cs="Arial"/>
          <w:sz w:val="24"/>
          <w:szCs w:val="24"/>
          <w:lang w:val="en-US"/>
        </w:rPr>
        <w:t xml:space="preserve">943 companies meet these criteria. Of these, </w:t>
      </w:r>
      <w:r w:rsidR="00597ACA">
        <w:rPr>
          <w:rFonts w:ascii="Cambria" w:hAnsi="Cambria" w:cs="Arial"/>
          <w:sz w:val="24"/>
          <w:szCs w:val="24"/>
          <w:lang w:val="en-US"/>
        </w:rPr>
        <w:t>2</w:t>
      </w:r>
      <w:r w:rsidR="00EC6A47">
        <w:rPr>
          <w:rFonts w:ascii="Cambria" w:hAnsi="Cambria" w:cs="Arial"/>
          <w:sz w:val="24"/>
          <w:szCs w:val="24"/>
          <w:lang w:val="en-US"/>
        </w:rPr>
        <w:t xml:space="preserve"> </w:t>
      </w:r>
      <w:r w:rsidR="001C6303">
        <w:rPr>
          <w:rFonts w:ascii="Cambria" w:hAnsi="Cambria" w:cs="Arial"/>
          <w:sz w:val="24"/>
          <w:szCs w:val="24"/>
          <w:lang w:val="en-US"/>
        </w:rPr>
        <w:t>361</w:t>
      </w:r>
      <w:r w:rsidRPr="009A0ED2">
        <w:rPr>
          <w:rFonts w:ascii="Cambria" w:hAnsi="Cambria" w:cs="Arial"/>
          <w:sz w:val="24"/>
          <w:szCs w:val="24"/>
          <w:lang w:val="en-US"/>
        </w:rPr>
        <w:t xml:space="preserve"> have not yet filed their 2022 accounts with the National Bank. They are removed from the analysis, bringing the sample size to 12</w:t>
      </w:r>
      <w:r w:rsidR="00EC6A47">
        <w:rPr>
          <w:rFonts w:ascii="Cambria" w:hAnsi="Cambria" w:cs="Arial"/>
          <w:sz w:val="24"/>
          <w:szCs w:val="24"/>
          <w:lang w:val="en-US"/>
        </w:rPr>
        <w:t xml:space="preserve"> </w:t>
      </w:r>
      <w:r w:rsidRPr="009A0ED2">
        <w:rPr>
          <w:rFonts w:ascii="Cambria" w:hAnsi="Cambria" w:cs="Arial"/>
          <w:sz w:val="24"/>
          <w:szCs w:val="24"/>
          <w:lang w:val="en-US"/>
        </w:rPr>
        <w:t>581 companies. Only Delhaize</w:t>
      </w:r>
      <w:r w:rsidR="00EC6A47">
        <w:rPr>
          <w:rFonts w:ascii="Cambria" w:hAnsi="Cambria" w:cs="Arial"/>
          <w:sz w:val="24"/>
          <w:szCs w:val="24"/>
          <w:lang w:val="en-US"/>
        </w:rPr>
        <w:t xml:space="preserve"> – </w:t>
      </w:r>
      <w:r w:rsidR="00EC6A47" w:rsidRPr="00EC6A47">
        <w:rPr>
          <w:rFonts w:ascii="Cambria" w:hAnsi="Cambria" w:cs="Arial"/>
          <w:sz w:val="24"/>
          <w:szCs w:val="24"/>
          <w:lang w:val="en-US"/>
        </w:rPr>
        <w:t xml:space="preserve">which has not yet deposited its accounts with the national bank because of </w:t>
      </w:r>
      <w:r w:rsidR="00EC6A47">
        <w:rPr>
          <w:rFonts w:ascii="Cambria" w:hAnsi="Cambria" w:cs="Arial"/>
          <w:sz w:val="24"/>
          <w:szCs w:val="24"/>
          <w:lang w:val="en-US"/>
        </w:rPr>
        <w:t>a</w:t>
      </w:r>
      <w:r w:rsidR="00EC6A47" w:rsidRPr="00EC6A47">
        <w:rPr>
          <w:rFonts w:ascii="Cambria" w:hAnsi="Cambria" w:cs="Arial"/>
          <w:sz w:val="24"/>
          <w:szCs w:val="24"/>
          <w:lang w:val="en-US"/>
        </w:rPr>
        <w:t xml:space="preserve"> social conflict</w:t>
      </w:r>
      <w:r w:rsidR="00EC6A47">
        <w:rPr>
          <w:rFonts w:ascii="Cambria" w:hAnsi="Cambria" w:cs="Arial"/>
          <w:sz w:val="24"/>
          <w:szCs w:val="24"/>
          <w:lang w:val="en-US"/>
        </w:rPr>
        <w:t xml:space="preserve"> –</w:t>
      </w:r>
      <w:r w:rsidRPr="009A0ED2">
        <w:rPr>
          <w:rFonts w:ascii="Cambria" w:hAnsi="Cambria" w:cs="Arial"/>
          <w:sz w:val="24"/>
          <w:szCs w:val="24"/>
          <w:lang w:val="en-US"/>
        </w:rPr>
        <w:t xml:space="preserve"> has not been removed from the analysis and its </w:t>
      </w:r>
      <w:r w:rsidR="001C6303">
        <w:rPr>
          <w:rFonts w:ascii="Cambria" w:hAnsi="Cambria" w:cs="Arial"/>
          <w:sz w:val="24"/>
          <w:szCs w:val="24"/>
          <w:lang w:val="en-US"/>
        </w:rPr>
        <w:t>numbers</w:t>
      </w:r>
      <w:r w:rsidRPr="009A0ED2">
        <w:rPr>
          <w:rFonts w:ascii="Cambria" w:hAnsi="Cambria" w:cs="Arial"/>
          <w:sz w:val="24"/>
          <w:szCs w:val="24"/>
          <w:lang w:val="en-US"/>
        </w:rPr>
        <w:t xml:space="preserve"> have been estimated on the basis of confidential partial sources.</w:t>
      </w:r>
    </w:p>
    <w:p w14:paraId="7272D1F1" w14:textId="77777777" w:rsidR="002A336A" w:rsidRDefault="002A336A" w:rsidP="001B1232">
      <w:pPr>
        <w:ind w:firstLine="708"/>
        <w:jc w:val="both"/>
        <w:rPr>
          <w:rFonts w:ascii="Cambria" w:hAnsi="Cambria" w:cs="Arial"/>
          <w:sz w:val="24"/>
          <w:szCs w:val="24"/>
          <w:lang w:val="en-US"/>
        </w:rPr>
      </w:pPr>
    </w:p>
    <w:p w14:paraId="21504D8B" w14:textId="527F310D" w:rsidR="001C6303" w:rsidRDefault="00286A01" w:rsidP="001B111D">
      <w:pPr>
        <w:pStyle w:val="Paragraphedeliste"/>
        <w:numPr>
          <w:ilvl w:val="0"/>
          <w:numId w:val="1"/>
        </w:numPr>
        <w:jc w:val="both"/>
        <w:rPr>
          <w:rFonts w:ascii="Cambria" w:hAnsi="Cambria" w:cs="Arial"/>
          <w:b/>
          <w:bCs/>
          <w:sz w:val="28"/>
          <w:szCs w:val="28"/>
        </w:rPr>
      </w:pPr>
      <w:proofErr w:type="spellStart"/>
      <w:r w:rsidRPr="001B111D">
        <w:rPr>
          <w:rFonts w:ascii="Cambria" w:hAnsi="Cambria" w:cs="Arial"/>
          <w:b/>
          <w:bCs/>
          <w:sz w:val="28"/>
          <w:szCs w:val="28"/>
        </w:rPr>
        <w:t>Results</w:t>
      </w:r>
      <w:proofErr w:type="spellEnd"/>
    </w:p>
    <w:p w14:paraId="5C428D17" w14:textId="77777777" w:rsidR="001B111D" w:rsidRDefault="001B111D" w:rsidP="001B111D">
      <w:pPr>
        <w:jc w:val="both"/>
        <w:rPr>
          <w:rFonts w:ascii="Cambria" w:hAnsi="Cambria" w:cs="Arial"/>
          <w:b/>
          <w:bCs/>
          <w:sz w:val="28"/>
          <w:szCs w:val="28"/>
        </w:rPr>
      </w:pPr>
    </w:p>
    <w:p w14:paraId="41CDD388" w14:textId="43FB23AE" w:rsidR="001B111D" w:rsidRDefault="002A336A" w:rsidP="001B111D">
      <w:pPr>
        <w:ind w:firstLine="708"/>
        <w:jc w:val="both"/>
        <w:rPr>
          <w:rFonts w:ascii="Cambria" w:hAnsi="Cambria" w:cs="Arial"/>
          <w:sz w:val="24"/>
          <w:szCs w:val="24"/>
          <w:lang w:val="en-US"/>
        </w:rPr>
      </w:pPr>
      <w:r w:rsidRPr="002A336A">
        <w:rPr>
          <w:rFonts w:ascii="Cambria" w:hAnsi="Cambria" w:cs="Arial"/>
          <w:sz w:val="24"/>
          <w:szCs w:val="24"/>
          <w:lang w:val="en-US"/>
        </w:rPr>
        <w:t>Here are the main results of the study, concerning sales, profits and shareholder remuneration.</w:t>
      </w:r>
    </w:p>
    <w:p w14:paraId="4869742D" w14:textId="52A65222" w:rsidR="00366540" w:rsidRPr="00445F3E" w:rsidRDefault="00366540" w:rsidP="00366540">
      <w:pPr>
        <w:pStyle w:val="Paragraphedeliste"/>
        <w:numPr>
          <w:ilvl w:val="0"/>
          <w:numId w:val="3"/>
        </w:numPr>
        <w:jc w:val="both"/>
        <w:rPr>
          <w:rFonts w:ascii="Cambria" w:hAnsi="Cambria" w:cs="Arial"/>
          <w:b/>
          <w:bCs/>
          <w:sz w:val="24"/>
          <w:szCs w:val="24"/>
          <w:lang w:val="en-US"/>
        </w:rPr>
      </w:pPr>
      <w:r w:rsidRPr="00445F3E">
        <w:rPr>
          <w:rFonts w:ascii="Cambria" w:hAnsi="Cambria" w:cs="Arial"/>
          <w:b/>
          <w:bCs/>
          <w:sz w:val="24"/>
          <w:szCs w:val="24"/>
          <w:lang w:val="en-US"/>
        </w:rPr>
        <w:t>Sales</w:t>
      </w:r>
    </w:p>
    <w:p w14:paraId="18E189F7" w14:textId="32EFF169" w:rsidR="00445F3E" w:rsidRDefault="00445F3E" w:rsidP="001B1232">
      <w:pPr>
        <w:ind w:firstLine="708"/>
        <w:jc w:val="both"/>
        <w:rPr>
          <w:rFonts w:ascii="Cambria" w:hAnsi="Cambria" w:cs="Arial"/>
          <w:sz w:val="24"/>
          <w:szCs w:val="24"/>
          <w:lang w:val="en-US"/>
        </w:rPr>
      </w:pPr>
      <w:r w:rsidRPr="00445F3E">
        <w:rPr>
          <w:rFonts w:ascii="Cambria" w:hAnsi="Cambria" w:cs="Arial"/>
          <w:sz w:val="24"/>
          <w:szCs w:val="24"/>
          <w:lang w:val="en-US"/>
        </w:rPr>
        <w:t xml:space="preserve">Here's the sales curve. </w:t>
      </w:r>
    </w:p>
    <w:p w14:paraId="585D6A72" w14:textId="06CD9BE0" w:rsidR="001C6303" w:rsidRDefault="005108E2" w:rsidP="001B1232">
      <w:pPr>
        <w:ind w:firstLine="708"/>
        <w:jc w:val="both"/>
        <w:rPr>
          <w:rFonts w:ascii="Cambria" w:hAnsi="Cambria" w:cs="Arial"/>
          <w:sz w:val="24"/>
          <w:szCs w:val="24"/>
          <w:lang w:val="en-US"/>
        </w:rPr>
      </w:pPr>
      <w:r>
        <w:rPr>
          <w:noProof/>
        </w:rPr>
        <w:drawing>
          <wp:inline distT="0" distB="0" distL="0" distR="0" wp14:anchorId="5C326026" wp14:editId="32A6B159">
            <wp:extent cx="4572000" cy="2743200"/>
            <wp:effectExtent l="0" t="0" r="0" b="0"/>
            <wp:docPr id="1" name="Graphique 1">
              <a:extLst xmlns:a="http://schemas.openxmlformats.org/drawingml/2006/main">
                <a:ext uri="{FF2B5EF4-FFF2-40B4-BE49-F238E27FC236}">
                  <a16:creationId xmlns:a16="http://schemas.microsoft.com/office/drawing/2014/main" id="{5A021EE2-9044-0DA7-35B3-1D1C50DE6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351F7D" w14:textId="77777777" w:rsidR="00286A01" w:rsidRDefault="00286A01" w:rsidP="001B1232">
      <w:pPr>
        <w:ind w:firstLine="708"/>
        <w:jc w:val="both"/>
        <w:rPr>
          <w:rFonts w:ascii="Cambria" w:hAnsi="Cambria" w:cs="Arial"/>
          <w:sz w:val="24"/>
          <w:szCs w:val="24"/>
          <w:lang w:val="en-US"/>
        </w:rPr>
      </w:pPr>
    </w:p>
    <w:p w14:paraId="63937D6E" w14:textId="7550645C" w:rsidR="00286A01" w:rsidRDefault="00773C89" w:rsidP="001B1232">
      <w:pPr>
        <w:ind w:firstLine="708"/>
        <w:jc w:val="both"/>
        <w:rPr>
          <w:rFonts w:ascii="Cambria" w:hAnsi="Cambria" w:cs="Arial"/>
          <w:sz w:val="24"/>
          <w:szCs w:val="24"/>
          <w:lang w:val="en-US"/>
        </w:rPr>
      </w:pPr>
      <w:r w:rsidRPr="00773C89">
        <w:rPr>
          <w:rFonts w:ascii="Cambria" w:hAnsi="Cambria" w:cs="Arial"/>
          <w:sz w:val="24"/>
          <w:szCs w:val="24"/>
          <w:lang w:val="en-US"/>
        </w:rPr>
        <w:t>Sales are rising in 2022. It should be noted that this is essentially due to price rises, as the quantities sold are falling, notably as a result of the population's declining purchasing power.</w:t>
      </w:r>
    </w:p>
    <w:p w14:paraId="2403BEC2" w14:textId="77777777" w:rsidR="003550C2" w:rsidRDefault="003550C2" w:rsidP="001B1232">
      <w:pPr>
        <w:ind w:firstLine="708"/>
        <w:jc w:val="both"/>
        <w:rPr>
          <w:rFonts w:ascii="Cambria" w:hAnsi="Cambria" w:cs="Arial"/>
          <w:sz w:val="24"/>
          <w:szCs w:val="24"/>
          <w:lang w:val="en-US"/>
        </w:rPr>
      </w:pPr>
    </w:p>
    <w:p w14:paraId="5A9625CA" w14:textId="77777777" w:rsidR="00A46AAB" w:rsidRDefault="00A46AAB" w:rsidP="001B1232">
      <w:pPr>
        <w:ind w:firstLine="708"/>
        <w:jc w:val="both"/>
        <w:rPr>
          <w:rFonts w:ascii="Cambria" w:hAnsi="Cambria" w:cs="Arial"/>
          <w:sz w:val="24"/>
          <w:szCs w:val="24"/>
          <w:lang w:val="en-US"/>
        </w:rPr>
      </w:pPr>
    </w:p>
    <w:p w14:paraId="74C16A0C" w14:textId="77777777" w:rsidR="00A46AAB" w:rsidRDefault="00A46AAB" w:rsidP="001B1232">
      <w:pPr>
        <w:ind w:firstLine="708"/>
        <w:jc w:val="both"/>
        <w:rPr>
          <w:rFonts w:ascii="Cambria" w:hAnsi="Cambria" w:cs="Arial"/>
          <w:sz w:val="24"/>
          <w:szCs w:val="24"/>
          <w:lang w:val="en-US"/>
        </w:rPr>
      </w:pPr>
    </w:p>
    <w:p w14:paraId="2F393871" w14:textId="77777777" w:rsidR="00A46AAB" w:rsidRDefault="00A46AAB" w:rsidP="001B1232">
      <w:pPr>
        <w:ind w:firstLine="708"/>
        <w:jc w:val="both"/>
        <w:rPr>
          <w:rFonts w:ascii="Cambria" w:hAnsi="Cambria" w:cs="Arial"/>
          <w:sz w:val="24"/>
          <w:szCs w:val="24"/>
          <w:lang w:val="en-US"/>
        </w:rPr>
      </w:pPr>
    </w:p>
    <w:p w14:paraId="762473FA" w14:textId="77777777" w:rsidR="00A46AAB" w:rsidRDefault="00A46AAB" w:rsidP="001B1232">
      <w:pPr>
        <w:ind w:firstLine="708"/>
        <w:jc w:val="both"/>
        <w:rPr>
          <w:rFonts w:ascii="Cambria" w:hAnsi="Cambria" w:cs="Arial"/>
          <w:sz w:val="24"/>
          <w:szCs w:val="24"/>
          <w:lang w:val="en-US"/>
        </w:rPr>
      </w:pPr>
    </w:p>
    <w:p w14:paraId="72FC9910" w14:textId="77777777" w:rsidR="00A46AAB" w:rsidRDefault="00A46AAB" w:rsidP="001B1232">
      <w:pPr>
        <w:ind w:firstLine="708"/>
        <w:jc w:val="both"/>
        <w:rPr>
          <w:rFonts w:ascii="Cambria" w:hAnsi="Cambria" w:cs="Arial"/>
          <w:sz w:val="24"/>
          <w:szCs w:val="24"/>
          <w:lang w:val="en-US"/>
        </w:rPr>
      </w:pPr>
    </w:p>
    <w:p w14:paraId="27961413" w14:textId="422A15B5" w:rsidR="00C51D11" w:rsidRDefault="00C51D11" w:rsidP="00CB5708">
      <w:pPr>
        <w:pStyle w:val="Paragraphedeliste"/>
        <w:numPr>
          <w:ilvl w:val="0"/>
          <w:numId w:val="3"/>
        </w:numPr>
        <w:jc w:val="both"/>
        <w:rPr>
          <w:rFonts w:ascii="Cambria" w:hAnsi="Cambria" w:cs="Arial"/>
          <w:b/>
          <w:bCs/>
          <w:sz w:val="24"/>
          <w:szCs w:val="24"/>
          <w:lang w:val="en-US"/>
        </w:rPr>
      </w:pPr>
      <w:r w:rsidRPr="00CB5708">
        <w:rPr>
          <w:rFonts w:ascii="Cambria" w:hAnsi="Cambria" w:cs="Arial"/>
          <w:b/>
          <w:bCs/>
          <w:sz w:val="24"/>
          <w:szCs w:val="24"/>
          <w:lang w:val="en-US"/>
        </w:rPr>
        <w:t>Profits</w:t>
      </w:r>
    </w:p>
    <w:p w14:paraId="16A3D108" w14:textId="2C308350" w:rsidR="003550C2" w:rsidRDefault="003550C2" w:rsidP="003550C2">
      <w:pPr>
        <w:ind w:firstLine="708"/>
        <w:jc w:val="both"/>
        <w:rPr>
          <w:noProof/>
          <w:lang w:val="en-US"/>
        </w:rPr>
      </w:pPr>
      <w:r w:rsidRPr="003550C2">
        <w:rPr>
          <w:rFonts w:ascii="Cambria" w:hAnsi="Cambria" w:cs="Arial"/>
          <w:sz w:val="24"/>
          <w:szCs w:val="24"/>
          <w:lang w:val="en-US"/>
        </w:rPr>
        <w:t>Here is the</w:t>
      </w:r>
      <w:r w:rsidR="00FE0020">
        <w:rPr>
          <w:rFonts w:ascii="Cambria" w:hAnsi="Cambria" w:cs="Arial"/>
          <w:sz w:val="24"/>
          <w:szCs w:val="24"/>
          <w:lang w:val="en-US"/>
        </w:rPr>
        <w:t xml:space="preserve"> </w:t>
      </w:r>
      <w:r w:rsidR="00410ACC" w:rsidRPr="00DB2339">
        <w:rPr>
          <w:rFonts w:ascii="Cambria" w:hAnsi="Cambria" w:cs="Arial"/>
          <w:sz w:val="24"/>
          <w:szCs w:val="24"/>
          <w:lang w:val="en-US"/>
        </w:rPr>
        <w:t xml:space="preserve">operating </w:t>
      </w:r>
      <w:r w:rsidRPr="003550C2">
        <w:rPr>
          <w:rFonts w:ascii="Cambria" w:hAnsi="Cambria" w:cs="Arial"/>
          <w:sz w:val="24"/>
          <w:szCs w:val="24"/>
          <w:lang w:val="en-US"/>
        </w:rPr>
        <w:t>profit curve</w:t>
      </w:r>
      <w:r w:rsidR="009E2142">
        <w:rPr>
          <w:rFonts w:ascii="Cambria" w:hAnsi="Cambria" w:cs="Arial"/>
          <w:sz w:val="24"/>
          <w:szCs w:val="24"/>
          <w:lang w:val="en-US"/>
        </w:rPr>
        <w:t xml:space="preserve"> of Belgian food trade businesses</w:t>
      </w:r>
      <w:r w:rsidR="00EC6A47">
        <w:rPr>
          <w:rFonts w:ascii="Cambria" w:hAnsi="Cambria" w:cs="Arial"/>
          <w:sz w:val="24"/>
          <w:szCs w:val="24"/>
          <w:lang w:val="en-US"/>
        </w:rPr>
        <w:t xml:space="preserve"> (in blue)</w:t>
      </w:r>
      <w:r w:rsidRPr="003550C2">
        <w:rPr>
          <w:rFonts w:ascii="Cambria" w:hAnsi="Cambria" w:cs="Arial"/>
          <w:sz w:val="24"/>
          <w:szCs w:val="24"/>
          <w:lang w:val="en-US"/>
        </w:rPr>
        <w:t xml:space="preserve">, in millions of euros. It rises until 2020, then falls in 2021 and 2022, returning </w:t>
      </w:r>
      <w:r w:rsidR="003B674B">
        <w:rPr>
          <w:rFonts w:ascii="Cambria" w:hAnsi="Cambria" w:cs="Arial"/>
          <w:sz w:val="24"/>
          <w:szCs w:val="24"/>
          <w:lang w:val="en-US"/>
        </w:rPr>
        <w:t>near</w:t>
      </w:r>
      <w:r w:rsidRPr="003550C2">
        <w:rPr>
          <w:rFonts w:ascii="Cambria" w:hAnsi="Cambria" w:cs="Arial"/>
          <w:sz w:val="24"/>
          <w:szCs w:val="24"/>
          <w:lang w:val="en-US"/>
        </w:rPr>
        <w:t xml:space="preserve"> 2019 levels.</w:t>
      </w:r>
      <w:r w:rsidRPr="003550C2">
        <w:rPr>
          <w:noProof/>
          <w:lang w:val="en-US"/>
        </w:rPr>
        <w:t xml:space="preserve"> </w:t>
      </w:r>
    </w:p>
    <w:p w14:paraId="65127C9C" w14:textId="759327C5" w:rsidR="003550C2" w:rsidRPr="003550C2" w:rsidRDefault="00C100E1" w:rsidP="003550C2">
      <w:pPr>
        <w:ind w:firstLine="708"/>
        <w:jc w:val="both"/>
        <w:rPr>
          <w:rFonts w:ascii="Cambria" w:hAnsi="Cambria" w:cs="Arial"/>
          <w:sz w:val="24"/>
          <w:szCs w:val="24"/>
          <w:lang w:val="en-US"/>
        </w:rPr>
      </w:pPr>
      <w:r>
        <w:rPr>
          <w:noProof/>
        </w:rPr>
        <w:drawing>
          <wp:inline distT="0" distB="0" distL="0" distR="0" wp14:anchorId="29699CFD" wp14:editId="7E31E045">
            <wp:extent cx="4572000" cy="2933700"/>
            <wp:effectExtent l="0" t="0" r="0" b="0"/>
            <wp:docPr id="6" name="Graphique 6">
              <a:extLst xmlns:a="http://schemas.openxmlformats.org/drawingml/2006/main">
                <a:ext uri="{FF2B5EF4-FFF2-40B4-BE49-F238E27FC236}">
                  <a16:creationId xmlns:a16="http://schemas.microsoft.com/office/drawing/2014/main" id="{4ECAC7B1-B789-DE98-368A-1950D26B8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E48C0C" w14:textId="47DD8C3D" w:rsidR="00E7166C" w:rsidRDefault="00E7166C" w:rsidP="003550C2">
      <w:pPr>
        <w:ind w:firstLine="708"/>
        <w:jc w:val="both"/>
        <w:rPr>
          <w:rFonts w:ascii="Cambria" w:hAnsi="Cambria" w:cs="Arial"/>
          <w:sz w:val="24"/>
          <w:szCs w:val="24"/>
          <w:lang w:val="en-US"/>
        </w:rPr>
      </w:pPr>
      <w:r w:rsidRPr="00E7166C">
        <w:rPr>
          <w:rFonts w:ascii="Cambria" w:hAnsi="Cambria" w:cs="Arial"/>
          <w:sz w:val="24"/>
          <w:szCs w:val="24"/>
          <w:lang w:val="en-US"/>
        </w:rPr>
        <w:t>The bottom curve represents tax paid on profits</w:t>
      </w:r>
      <w:r>
        <w:rPr>
          <w:rFonts w:ascii="Cambria" w:hAnsi="Cambria" w:cs="Arial"/>
          <w:sz w:val="24"/>
          <w:szCs w:val="24"/>
          <w:lang w:val="en-US"/>
        </w:rPr>
        <w:t>.</w:t>
      </w:r>
    </w:p>
    <w:p w14:paraId="4CE737BF" w14:textId="06488182" w:rsidR="00E7567D" w:rsidRDefault="00E7567D" w:rsidP="003550C2">
      <w:pPr>
        <w:ind w:firstLine="708"/>
        <w:jc w:val="both"/>
        <w:rPr>
          <w:rFonts w:ascii="Cambria" w:hAnsi="Cambria" w:cs="Arial"/>
          <w:sz w:val="24"/>
          <w:szCs w:val="24"/>
          <w:lang w:val="en-US"/>
        </w:rPr>
      </w:pPr>
      <w:r w:rsidRPr="00E7567D">
        <w:rPr>
          <w:rFonts w:ascii="Cambria" w:hAnsi="Cambria" w:cs="Arial"/>
          <w:sz w:val="24"/>
          <w:szCs w:val="24"/>
          <w:lang w:val="en-US"/>
        </w:rPr>
        <w:t>If the tax-reduced operating profits were distributed among the workers of the companies considered in this study (131</w:t>
      </w:r>
      <w:r w:rsidR="00EC6A47">
        <w:rPr>
          <w:rFonts w:ascii="Cambria" w:hAnsi="Cambria" w:cs="Arial"/>
          <w:sz w:val="24"/>
          <w:szCs w:val="24"/>
          <w:lang w:val="en-US"/>
        </w:rPr>
        <w:t xml:space="preserve"> </w:t>
      </w:r>
      <w:r w:rsidRPr="00E7567D">
        <w:rPr>
          <w:rFonts w:ascii="Cambria" w:hAnsi="Cambria" w:cs="Arial"/>
          <w:sz w:val="24"/>
          <w:szCs w:val="24"/>
          <w:lang w:val="en-US"/>
        </w:rPr>
        <w:t>934 full-time equivalents), each worker would receive an amount of €8107. If half of the profits were distributed in this way, each worker would receive €4054. Note that these calculations ignore the financial result. If this were included, the amount would be considerably higher, thanks to Colruyt's exceptional financial income.</w:t>
      </w:r>
    </w:p>
    <w:p w14:paraId="0B4BE2B6" w14:textId="77777777" w:rsidR="00146604" w:rsidRDefault="00146604" w:rsidP="00146604">
      <w:pPr>
        <w:ind w:firstLine="708"/>
        <w:jc w:val="both"/>
        <w:rPr>
          <w:rFonts w:ascii="Cambria" w:hAnsi="Cambria" w:cs="Arial"/>
          <w:sz w:val="24"/>
          <w:szCs w:val="24"/>
          <w:lang w:val="en-US"/>
        </w:rPr>
      </w:pPr>
      <w:r w:rsidRPr="003550C2">
        <w:rPr>
          <w:rFonts w:ascii="Cambria" w:hAnsi="Cambria" w:cs="Arial"/>
          <w:sz w:val="24"/>
          <w:szCs w:val="24"/>
          <w:lang w:val="en-US"/>
        </w:rPr>
        <w:t>Note that th</w:t>
      </w:r>
      <w:r>
        <w:rPr>
          <w:rFonts w:ascii="Cambria" w:hAnsi="Cambria" w:cs="Arial"/>
          <w:sz w:val="24"/>
          <w:szCs w:val="24"/>
          <w:lang w:val="en-US"/>
        </w:rPr>
        <w:t>is</w:t>
      </w:r>
      <w:r w:rsidRPr="003550C2">
        <w:rPr>
          <w:rFonts w:ascii="Cambria" w:hAnsi="Cambria" w:cs="Arial"/>
          <w:sz w:val="24"/>
          <w:szCs w:val="24"/>
          <w:lang w:val="en-US"/>
        </w:rPr>
        <w:t xml:space="preserve"> figure cannot be compared with </w:t>
      </w:r>
      <w:r>
        <w:rPr>
          <w:rFonts w:ascii="Cambria" w:hAnsi="Cambria" w:cs="Arial"/>
          <w:sz w:val="24"/>
          <w:szCs w:val="24"/>
          <w:lang w:val="en-US"/>
        </w:rPr>
        <w:t xml:space="preserve">the </w:t>
      </w:r>
      <w:r w:rsidRPr="003550C2">
        <w:rPr>
          <w:rFonts w:ascii="Cambria" w:hAnsi="Cambria" w:cs="Arial"/>
          <w:sz w:val="24"/>
          <w:szCs w:val="24"/>
          <w:lang w:val="en-US"/>
        </w:rPr>
        <w:t>sales figure. The profit figures relate to all companies, whereas the sales figure exclude</w:t>
      </w:r>
      <w:r>
        <w:rPr>
          <w:rFonts w:ascii="Cambria" w:hAnsi="Cambria" w:cs="Arial"/>
          <w:sz w:val="24"/>
          <w:szCs w:val="24"/>
          <w:lang w:val="en-US"/>
        </w:rPr>
        <w:t>s</w:t>
      </w:r>
      <w:r w:rsidRPr="003550C2">
        <w:rPr>
          <w:rFonts w:ascii="Cambria" w:hAnsi="Cambria" w:cs="Arial"/>
          <w:sz w:val="24"/>
          <w:szCs w:val="24"/>
          <w:lang w:val="en-US"/>
        </w:rPr>
        <w:t xml:space="preserve"> small companies.</w:t>
      </w:r>
    </w:p>
    <w:p w14:paraId="44F79A38" w14:textId="77777777" w:rsidR="00AC4278" w:rsidRPr="00AC4278" w:rsidRDefault="00AC4278" w:rsidP="00AC4278">
      <w:pPr>
        <w:ind w:firstLine="708"/>
        <w:jc w:val="both"/>
        <w:rPr>
          <w:rFonts w:ascii="Cambria" w:hAnsi="Cambria" w:cs="Arial"/>
          <w:sz w:val="24"/>
          <w:szCs w:val="24"/>
          <w:lang w:val="en-US"/>
        </w:rPr>
      </w:pPr>
      <w:r w:rsidRPr="00AC4278">
        <w:rPr>
          <w:rFonts w:ascii="Cambria" w:hAnsi="Cambria" w:cs="Arial"/>
          <w:sz w:val="24"/>
          <w:szCs w:val="24"/>
          <w:lang w:val="en-US"/>
        </w:rPr>
        <w:t>The following graph breaks down profits by company size.</w:t>
      </w:r>
    </w:p>
    <w:p w14:paraId="79D0C1B7" w14:textId="77777777" w:rsidR="00EA24DB" w:rsidRDefault="00EA24DB" w:rsidP="003550C2">
      <w:pPr>
        <w:ind w:firstLine="708"/>
        <w:jc w:val="both"/>
        <w:rPr>
          <w:rFonts w:ascii="Cambria" w:hAnsi="Cambria" w:cs="Arial"/>
          <w:sz w:val="24"/>
          <w:szCs w:val="24"/>
          <w:lang w:val="en-US"/>
        </w:rPr>
      </w:pPr>
    </w:p>
    <w:p w14:paraId="3A543AFB" w14:textId="2C214E7A" w:rsidR="00EA24DB" w:rsidRDefault="00EA24DB" w:rsidP="003550C2">
      <w:pPr>
        <w:ind w:firstLine="708"/>
        <w:jc w:val="both"/>
        <w:rPr>
          <w:rFonts w:ascii="Cambria" w:hAnsi="Cambria" w:cs="Arial"/>
          <w:sz w:val="24"/>
          <w:szCs w:val="24"/>
          <w:lang w:val="en-US"/>
        </w:rPr>
      </w:pPr>
      <w:r>
        <w:rPr>
          <w:noProof/>
        </w:rPr>
        <w:lastRenderedPageBreak/>
        <w:drawing>
          <wp:inline distT="0" distB="0" distL="0" distR="0" wp14:anchorId="14CC7504" wp14:editId="38877236">
            <wp:extent cx="4572000" cy="2743200"/>
            <wp:effectExtent l="0" t="0" r="0" b="0"/>
            <wp:docPr id="3" name="Graphique 3">
              <a:extLst xmlns:a="http://schemas.openxmlformats.org/drawingml/2006/main">
                <a:ext uri="{FF2B5EF4-FFF2-40B4-BE49-F238E27FC236}">
                  <a16:creationId xmlns:a16="http://schemas.microsoft.com/office/drawing/2014/main" id="{7E028A52-F0C1-ED75-7D59-2A457B3EA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F67368" w14:textId="77777777" w:rsidR="00410ACC" w:rsidRPr="003550C2" w:rsidRDefault="00410ACC" w:rsidP="003550C2">
      <w:pPr>
        <w:ind w:firstLine="708"/>
        <w:jc w:val="both"/>
        <w:rPr>
          <w:rFonts w:ascii="Cambria" w:hAnsi="Cambria" w:cs="Arial"/>
          <w:sz w:val="24"/>
          <w:szCs w:val="24"/>
          <w:lang w:val="en-US"/>
        </w:rPr>
      </w:pPr>
    </w:p>
    <w:p w14:paraId="7C97730C" w14:textId="1A404BAE" w:rsidR="0065714E" w:rsidRDefault="00AC4278" w:rsidP="00AC4278">
      <w:pPr>
        <w:ind w:firstLine="708"/>
        <w:jc w:val="both"/>
        <w:rPr>
          <w:rFonts w:ascii="Cambria" w:hAnsi="Cambria" w:cs="Arial"/>
          <w:sz w:val="24"/>
          <w:szCs w:val="24"/>
          <w:lang w:val="en-US"/>
        </w:rPr>
      </w:pPr>
      <w:r w:rsidRPr="00AC4278">
        <w:rPr>
          <w:rFonts w:ascii="Cambria" w:hAnsi="Cambria" w:cs="Arial"/>
          <w:sz w:val="24"/>
          <w:szCs w:val="24"/>
          <w:lang w:val="en-US"/>
        </w:rPr>
        <w:t xml:space="preserve">We can see that the decline in the sector's profitability mainly concerns companies with more than 50 </w:t>
      </w:r>
      <w:r w:rsidR="003666AF">
        <w:rPr>
          <w:rFonts w:ascii="Cambria" w:hAnsi="Cambria" w:cs="Arial"/>
          <w:sz w:val="24"/>
          <w:szCs w:val="24"/>
          <w:lang w:val="en-US"/>
        </w:rPr>
        <w:t>workers</w:t>
      </w:r>
      <w:r w:rsidR="00EC6A47">
        <w:rPr>
          <w:rStyle w:val="Appelnotedebasdep"/>
          <w:rFonts w:ascii="Cambria" w:hAnsi="Cambria" w:cs="Arial"/>
          <w:sz w:val="24"/>
          <w:szCs w:val="24"/>
          <w:lang w:val="en-US"/>
        </w:rPr>
        <w:footnoteReference w:id="2"/>
      </w:r>
      <w:r w:rsidR="00EC6A47">
        <w:rPr>
          <w:rFonts w:ascii="Cambria" w:hAnsi="Cambria" w:cs="Arial"/>
          <w:sz w:val="24"/>
          <w:szCs w:val="24"/>
          <w:lang w:val="en-US"/>
        </w:rPr>
        <w:t xml:space="preserve">. </w:t>
      </w:r>
      <w:r w:rsidRPr="00AC4278">
        <w:rPr>
          <w:rFonts w:ascii="Cambria" w:hAnsi="Cambria" w:cs="Arial"/>
          <w:sz w:val="24"/>
          <w:szCs w:val="24"/>
          <w:lang w:val="en-US"/>
        </w:rPr>
        <w:t>Smaller retailers have therefore been much more resilient to the inflation crisis.</w:t>
      </w:r>
      <w:r w:rsidR="00D15CFE">
        <w:rPr>
          <w:rFonts w:ascii="Cambria" w:hAnsi="Cambria" w:cs="Arial"/>
          <w:sz w:val="24"/>
          <w:szCs w:val="24"/>
          <w:lang w:val="en-US"/>
        </w:rPr>
        <w:t xml:space="preserve"> </w:t>
      </w:r>
      <w:r w:rsidR="00D15CFE" w:rsidRPr="00D15CFE">
        <w:rPr>
          <w:rFonts w:ascii="Cambria" w:hAnsi="Cambria" w:cs="Arial"/>
          <w:sz w:val="24"/>
          <w:szCs w:val="24"/>
          <w:lang w:val="en-US"/>
        </w:rPr>
        <w:t xml:space="preserve">More </w:t>
      </w:r>
      <w:r w:rsidR="00D15CFE">
        <w:rPr>
          <w:rFonts w:ascii="Cambria" w:hAnsi="Cambria" w:cs="Arial"/>
          <w:sz w:val="24"/>
          <w:szCs w:val="24"/>
          <w:lang w:val="en-US"/>
        </w:rPr>
        <w:t xml:space="preserve">detailed </w:t>
      </w:r>
      <w:r w:rsidR="00D15CFE" w:rsidRPr="00D15CFE">
        <w:rPr>
          <w:rFonts w:ascii="Cambria" w:hAnsi="Cambria" w:cs="Arial"/>
          <w:sz w:val="24"/>
          <w:szCs w:val="24"/>
          <w:lang w:val="en-US"/>
        </w:rPr>
        <w:t>research would be useful to explain these highly heterogeneous trends.</w:t>
      </w:r>
    </w:p>
    <w:p w14:paraId="78C1E2DF" w14:textId="77777777" w:rsidR="007D347D" w:rsidRDefault="007D347D" w:rsidP="00AC4278">
      <w:pPr>
        <w:ind w:firstLine="708"/>
        <w:jc w:val="both"/>
        <w:rPr>
          <w:rFonts w:ascii="Cambria" w:hAnsi="Cambria" w:cs="Arial"/>
          <w:sz w:val="24"/>
          <w:szCs w:val="24"/>
          <w:lang w:val="en-US"/>
        </w:rPr>
      </w:pPr>
    </w:p>
    <w:p w14:paraId="06EACA89" w14:textId="16991FF8" w:rsidR="0065714E" w:rsidRPr="007D347D" w:rsidRDefault="00350CB4" w:rsidP="007D347D">
      <w:pPr>
        <w:pStyle w:val="Paragraphedeliste"/>
        <w:numPr>
          <w:ilvl w:val="0"/>
          <w:numId w:val="3"/>
        </w:numPr>
        <w:jc w:val="both"/>
        <w:rPr>
          <w:rFonts w:ascii="Cambria" w:hAnsi="Cambria" w:cs="Arial"/>
          <w:b/>
          <w:bCs/>
          <w:sz w:val="24"/>
          <w:szCs w:val="24"/>
          <w:lang w:val="en-US"/>
        </w:rPr>
      </w:pPr>
      <w:r w:rsidRPr="00234F93">
        <w:rPr>
          <w:rFonts w:ascii="Cambria" w:hAnsi="Cambria" w:cs="Arial"/>
          <w:b/>
          <w:bCs/>
          <w:sz w:val="24"/>
          <w:szCs w:val="24"/>
          <w:lang w:val="en-US"/>
        </w:rPr>
        <w:t>Shareholder’s</w:t>
      </w:r>
      <w:r w:rsidR="00AC4278" w:rsidRPr="00234F93">
        <w:rPr>
          <w:rFonts w:ascii="Cambria" w:hAnsi="Cambria" w:cs="Arial"/>
          <w:b/>
          <w:bCs/>
          <w:sz w:val="24"/>
          <w:szCs w:val="24"/>
          <w:lang w:val="en-US"/>
        </w:rPr>
        <w:t xml:space="preserve"> compensation</w:t>
      </w:r>
    </w:p>
    <w:p w14:paraId="4F8ADBEA" w14:textId="77777777" w:rsidR="0047794C" w:rsidRDefault="0047794C" w:rsidP="0047794C">
      <w:pPr>
        <w:ind w:firstLine="708"/>
        <w:jc w:val="both"/>
        <w:rPr>
          <w:rFonts w:ascii="Cambria" w:hAnsi="Cambria" w:cs="Arial"/>
          <w:sz w:val="24"/>
          <w:szCs w:val="24"/>
          <w:lang w:val="en-US"/>
        </w:rPr>
      </w:pPr>
      <w:r w:rsidRPr="0047794C">
        <w:rPr>
          <w:rFonts w:ascii="Cambria" w:hAnsi="Cambria" w:cs="Arial"/>
          <w:sz w:val="24"/>
          <w:szCs w:val="24"/>
          <w:lang w:val="en-US"/>
        </w:rPr>
        <w:t>The upper curve represents the remuneration of the sector's shareholders. This includes dividends (Code 694) as well as share buybacks. Shareholder remuneration will rise sharply in 2020. It more than doubles. It then falls in 2021 and 2022, but remains at historically high levels.</w:t>
      </w:r>
    </w:p>
    <w:p w14:paraId="312B4CF0" w14:textId="49141739" w:rsidR="0047794C" w:rsidRPr="0047794C" w:rsidRDefault="00C616F4" w:rsidP="0047794C">
      <w:pPr>
        <w:ind w:firstLine="708"/>
        <w:jc w:val="both"/>
        <w:rPr>
          <w:rFonts w:ascii="Cambria" w:hAnsi="Cambria" w:cs="Arial"/>
          <w:sz w:val="24"/>
          <w:szCs w:val="24"/>
          <w:lang w:val="en-US"/>
        </w:rPr>
      </w:pPr>
      <w:r>
        <w:rPr>
          <w:noProof/>
        </w:rPr>
        <w:drawing>
          <wp:inline distT="0" distB="0" distL="0" distR="0" wp14:anchorId="22CBB582" wp14:editId="3F356319">
            <wp:extent cx="4572000" cy="2743200"/>
            <wp:effectExtent l="0" t="0" r="0" b="0"/>
            <wp:docPr id="5" name="Graphique 5">
              <a:extLst xmlns:a="http://schemas.openxmlformats.org/drawingml/2006/main">
                <a:ext uri="{FF2B5EF4-FFF2-40B4-BE49-F238E27FC236}">
                  <a16:creationId xmlns:a16="http://schemas.microsoft.com/office/drawing/2014/main" id="{0C55D0BD-63B4-273B-B7DE-3402A220F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03454B" w14:textId="6120EB1D" w:rsidR="007D347D" w:rsidRPr="00795C99" w:rsidRDefault="0047794C" w:rsidP="0047794C">
      <w:pPr>
        <w:ind w:firstLine="708"/>
        <w:jc w:val="both"/>
        <w:rPr>
          <w:rFonts w:ascii="Cambria" w:hAnsi="Cambria" w:cs="Arial"/>
          <w:sz w:val="24"/>
          <w:szCs w:val="24"/>
          <w:lang w:val="en-US"/>
        </w:rPr>
      </w:pPr>
      <w:r w:rsidRPr="0047794C">
        <w:rPr>
          <w:rFonts w:ascii="Cambria" w:hAnsi="Cambria" w:cs="Arial"/>
          <w:sz w:val="24"/>
          <w:szCs w:val="24"/>
          <w:lang w:val="en-US"/>
        </w:rPr>
        <w:lastRenderedPageBreak/>
        <w:t xml:space="preserve">The lower curve represents the remuneration of directors and managers (Code 695). Note that this is in excess of the salary they may already be receiving in the company. It often represents the return on capital in small and medium-sized companies. </w:t>
      </w:r>
      <w:r w:rsidRPr="00795C99">
        <w:rPr>
          <w:rFonts w:ascii="Cambria" w:hAnsi="Cambria" w:cs="Arial"/>
          <w:sz w:val="24"/>
          <w:szCs w:val="24"/>
          <w:lang w:val="en-US"/>
        </w:rPr>
        <w:t xml:space="preserve">It has </w:t>
      </w:r>
      <w:r w:rsidR="004A3440" w:rsidRPr="00795C99">
        <w:rPr>
          <w:rFonts w:ascii="Cambria" w:hAnsi="Cambria" w:cs="Arial"/>
          <w:sz w:val="24"/>
          <w:szCs w:val="24"/>
          <w:lang w:val="en-US"/>
        </w:rPr>
        <w:t>peaked in 2021 and has reduced since</w:t>
      </w:r>
      <w:r w:rsidRPr="00795C99">
        <w:rPr>
          <w:rFonts w:ascii="Cambria" w:hAnsi="Cambria" w:cs="Arial"/>
          <w:sz w:val="24"/>
          <w:szCs w:val="24"/>
          <w:lang w:val="en-US"/>
        </w:rPr>
        <w:t>.</w:t>
      </w:r>
    </w:p>
    <w:p w14:paraId="39D38669" w14:textId="14214868" w:rsidR="00573B22" w:rsidRPr="00795C99" w:rsidRDefault="00573B22" w:rsidP="008E1E28">
      <w:pPr>
        <w:jc w:val="both"/>
        <w:rPr>
          <w:rFonts w:ascii="Cambria" w:hAnsi="Cambria" w:cs="Arial"/>
          <w:sz w:val="24"/>
          <w:szCs w:val="24"/>
          <w:lang w:val="en-US"/>
        </w:rPr>
      </w:pPr>
    </w:p>
    <w:p w14:paraId="3B21AC7C" w14:textId="5901E643" w:rsidR="008E1E28" w:rsidRDefault="008E1E28" w:rsidP="008E1E28">
      <w:pPr>
        <w:jc w:val="both"/>
        <w:rPr>
          <w:rFonts w:ascii="Cambria" w:hAnsi="Cambria" w:cs="Arial"/>
          <w:sz w:val="24"/>
          <w:szCs w:val="24"/>
          <w:lang w:val="en-US"/>
        </w:rPr>
      </w:pPr>
      <w:r w:rsidRPr="008E1E28">
        <w:rPr>
          <w:rFonts w:ascii="Cambria" w:hAnsi="Cambria" w:cs="Arial"/>
          <w:sz w:val="24"/>
          <w:szCs w:val="24"/>
          <w:lang w:val="en-US"/>
        </w:rPr>
        <w:t>You can find company-by-company data in the appendix to this document.</w:t>
      </w:r>
    </w:p>
    <w:p w14:paraId="38EB7567" w14:textId="3C03BAD3" w:rsidR="003666AF" w:rsidRDefault="003666AF" w:rsidP="003666AF">
      <w:pPr>
        <w:jc w:val="center"/>
        <w:rPr>
          <w:rFonts w:ascii="Cambria" w:hAnsi="Cambria" w:cs="Arial"/>
          <w:sz w:val="24"/>
          <w:szCs w:val="24"/>
          <w:lang w:val="en-US"/>
        </w:rPr>
      </w:pPr>
    </w:p>
    <w:p w14:paraId="7622F249" w14:textId="35B5DF38" w:rsidR="003666AF" w:rsidRPr="008E1E28" w:rsidRDefault="003666AF" w:rsidP="003666AF">
      <w:pPr>
        <w:jc w:val="center"/>
        <w:rPr>
          <w:rFonts w:ascii="Cambria" w:hAnsi="Cambria" w:cs="Arial"/>
          <w:sz w:val="24"/>
          <w:szCs w:val="24"/>
          <w:lang w:val="en-US"/>
        </w:rPr>
      </w:pPr>
      <w:r>
        <w:rPr>
          <w:noProof/>
        </w:rPr>
        <w:drawing>
          <wp:anchor distT="0" distB="0" distL="114300" distR="114300" simplePos="0" relativeHeight="251660288" behindDoc="1" locked="0" layoutInCell="1" allowOverlap="1" wp14:anchorId="1D413532" wp14:editId="030D2146">
            <wp:simplePos x="0" y="0"/>
            <wp:positionH relativeFrom="column">
              <wp:posOffset>1552575</wp:posOffset>
            </wp:positionH>
            <wp:positionV relativeFrom="paragraph">
              <wp:posOffset>263525</wp:posOffset>
            </wp:positionV>
            <wp:extent cx="1905000" cy="1647825"/>
            <wp:effectExtent l="0" t="0" r="0" b="9525"/>
            <wp:wrapTight wrapText="bothSides">
              <wp:wrapPolygon edited="0">
                <wp:start x="0" y="0"/>
                <wp:lineTo x="0" y="21475"/>
                <wp:lineTo x="21384" y="21475"/>
                <wp:lineTo x="21384" y="0"/>
                <wp:lineTo x="0" y="0"/>
              </wp:wrapPolygon>
            </wp:wrapTight>
            <wp:docPr id="2" name="Image 2" descr="CSC Alimentation et Servic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Alimentation et Services | LinkedIn"/>
                    <pic:cNvPicPr>
                      <a:picLocks noChangeAspect="1" noChangeArrowheads="1"/>
                    </pic:cNvPicPr>
                  </pic:nvPicPr>
                  <pic:blipFill rotWithShape="1">
                    <a:blip r:embed="rId12">
                      <a:extLst>
                        <a:ext uri="{28A0092B-C50C-407E-A947-70E740481C1C}">
                          <a14:useLocalDpi xmlns:a14="http://schemas.microsoft.com/office/drawing/2010/main" val="0"/>
                        </a:ext>
                      </a:extLst>
                    </a:blip>
                    <a:srcRect t="-1000" b="14500"/>
                    <a:stretch/>
                  </pic:blipFill>
                  <pic:spPr bwMode="auto">
                    <a:xfrm>
                      <a:off x="0" y="0"/>
                      <a:ext cx="190500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666AF" w:rsidRPr="008E1E2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F384" w14:textId="77777777" w:rsidR="00B8199A" w:rsidRDefault="00B8199A" w:rsidP="00F16403">
      <w:pPr>
        <w:spacing w:after="0" w:line="240" w:lineRule="auto"/>
      </w:pPr>
      <w:r>
        <w:separator/>
      </w:r>
    </w:p>
  </w:endnote>
  <w:endnote w:type="continuationSeparator" w:id="0">
    <w:p w14:paraId="28AC378B" w14:textId="77777777" w:rsidR="00B8199A" w:rsidRDefault="00B8199A" w:rsidP="00F16403">
      <w:pPr>
        <w:spacing w:after="0" w:line="240" w:lineRule="auto"/>
      </w:pPr>
      <w:r>
        <w:continuationSeparator/>
      </w:r>
    </w:p>
  </w:endnote>
  <w:endnote w:type="continuationNotice" w:id="1">
    <w:p w14:paraId="0E646ED0" w14:textId="77777777" w:rsidR="00B8199A" w:rsidRDefault="00B81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57521"/>
      <w:docPartObj>
        <w:docPartGallery w:val="Page Numbers (Bottom of Page)"/>
        <w:docPartUnique/>
      </w:docPartObj>
    </w:sdtPr>
    <w:sdtEndPr/>
    <w:sdtContent>
      <w:p w14:paraId="1CFDC6F7" w14:textId="1DBF72A1" w:rsidR="002A336A" w:rsidRDefault="002A336A">
        <w:pPr>
          <w:pStyle w:val="Pieddepage"/>
          <w:jc w:val="right"/>
        </w:pPr>
        <w:r>
          <w:fldChar w:fldCharType="begin"/>
        </w:r>
        <w:r>
          <w:instrText>PAGE   \* MERGEFORMAT</w:instrText>
        </w:r>
        <w:r>
          <w:fldChar w:fldCharType="separate"/>
        </w:r>
        <w:r>
          <w:rPr>
            <w:lang w:val="fr-FR"/>
          </w:rPr>
          <w:t>2</w:t>
        </w:r>
        <w:r>
          <w:fldChar w:fldCharType="end"/>
        </w:r>
      </w:p>
    </w:sdtContent>
  </w:sdt>
  <w:p w14:paraId="5211F4B9" w14:textId="77777777" w:rsidR="002A336A" w:rsidRDefault="002A3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A7A7" w14:textId="77777777" w:rsidR="00B8199A" w:rsidRDefault="00B8199A" w:rsidP="00F16403">
      <w:pPr>
        <w:spacing w:after="0" w:line="240" w:lineRule="auto"/>
      </w:pPr>
      <w:r>
        <w:separator/>
      </w:r>
    </w:p>
  </w:footnote>
  <w:footnote w:type="continuationSeparator" w:id="0">
    <w:p w14:paraId="43DCC2A5" w14:textId="77777777" w:rsidR="00B8199A" w:rsidRDefault="00B8199A" w:rsidP="00F16403">
      <w:pPr>
        <w:spacing w:after="0" w:line="240" w:lineRule="auto"/>
      </w:pPr>
      <w:r>
        <w:continuationSeparator/>
      </w:r>
    </w:p>
  </w:footnote>
  <w:footnote w:type="continuationNotice" w:id="1">
    <w:p w14:paraId="0B9675D3" w14:textId="77777777" w:rsidR="00B8199A" w:rsidRDefault="00B8199A">
      <w:pPr>
        <w:spacing w:after="0" w:line="240" w:lineRule="auto"/>
      </w:pPr>
    </w:p>
  </w:footnote>
  <w:footnote w:id="2">
    <w:p w14:paraId="0009C20A" w14:textId="7CC4ED8B" w:rsidR="00EC6A47" w:rsidRPr="003666AF" w:rsidRDefault="00EC6A47">
      <w:pPr>
        <w:pStyle w:val="Notedebasdepage"/>
        <w:rPr>
          <w:lang w:val="en-US"/>
        </w:rPr>
      </w:pPr>
      <w:r>
        <w:rPr>
          <w:rStyle w:val="Appelnotedebasdep"/>
        </w:rPr>
        <w:footnoteRef/>
      </w:r>
      <w:r w:rsidRPr="003666AF">
        <w:rPr>
          <w:lang w:val="en-US"/>
        </w:rPr>
        <w:t xml:space="preserve"> </w:t>
      </w:r>
      <w:r w:rsidR="003666AF" w:rsidRPr="003666AF">
        <w:rPr>
          <w:lang w:val="en-US"/>
        </w:rPr>
        <w:t>The average number of 2021-2022 workers is used</w:t>
      </w:r>
      <w:r w:rsidR="003666AF">
        <w:rPr>
          <w:lang w:val="en-US"/>
        </w:rPr>
        <w:t xml:space="preserve"> to determinate the threshold</w:t>
      </w:r>
      <w:r w:rsidR="003666AF" w:rsidRPr="003666A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3474"/>
    <w:multiLevelType w:val="hybridMultilevel"/>
    <w:tmpl w:val="4AD8C412"/>
    <w:lvl w:ilvl="0" w:tplc="D34C918E">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42585B83"/>
    <w:multiLevelType w:val="hybridMultilevel"/>
    <w:tmpl w:val="76B454B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6C54298E"/>
    <w:multiLevelType w:val="hybridMultilevel"/>
    <w:tmpl w:val="3F0E5742"/>
    <w:lvl w:ilvl="0" w:tplc="61D475CA">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16cid:durableId="1225070068">
    <w:abstractNumId w:val="0"/>
  </w:num>
  <w:num w:numId="2" w16cid:durableId="1824468664">
    <w:abstractNumId w:val="1"/>
  </w:num>
  <w:num w:numId="3" w16cid:durableId="909728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73"/>
    <w:rsid w:val="00000800"/>
    <w:rsid w:val="0000286F"/>
    <w:rsid w:val="00003688"/>
    <w:rsid w:val="00004946"/>
    <w:rsid w:val="00010607"/>
    <w:rsid w:val="00012B91"/>
    <w:rsid w:val="0002105B"/>
    <w:rsid w:val="00022DB9"/>
    <w:rsid w:val="00024A1F"/>
    <w:rsid w:val="000268A7"/>
    <w:rsid w:val="000330B1"/>
    <w:rsid w:val="000348EB"/>
    <w:rsid w:val="000352B5"/>
    <w:rsid w:val="00035A3B"/>
    <w:rsid w:val="00043B9B"/>
    <w:rsid w:val="00046767"/>
    <w:rsid w:val="00050162"/>
    <w:rsid w:val="0005279A"/>
    <w:rsid w:val="00052892"/>
    <w:rsid w:val="0005321B"/>
    <w:rsid w:val="000546EA"/>
    <w:rsid w:val="00054924"/>
    <w:rsid w:val="0006209F"/>
    <w:rsid w:val="0006276C"/>
    <w:rsid w:val="00062B54"/>
    <w:rsid w:val="00064BEF"/>
    <w:rsid w:val="0006599E"/>
    <w:rsid w:val="00066079"/>
    <w:rsid w:val="000672B8"/>
    <w:rsid w:val="00070140"/>
    <w:rsid w:val="00071058"/>
    <w:rsid w:val="00072024"/>
    <w:rsid w:val="00072494"/>
    <w:rsid w:val="00073829"/>
    <w:rsid w:val="00074EFF"/>
    <w:rsid w:val="00076694"/>
    <w:rsid w:val="00080C06"/>
    <w:rsid w:val="0008105C"/>
    <w:rsid w:val="000811C5"/>
    <w:rsid w:val="0008306C"/>
    <w:rsid w:val="000876DE"/>
    <w:rsid w:val="00087D2D"/>
    <w:rsid w:val="000903A8"/>
    <w:rsid w:val="00091366"/>
    <w:rsid w:val="0009163F"/>
    <w:rsid w:val="000966CF"/>
    <w:rsid w:val="0009719E"/>
    <w:rsid w:val="000A030F"/>
    <w:rsid w:val="000A0370"/>
    <w:rsid w:val="000A174D"/>
    <w:rsid w:val="000A1C83"/>
    <w:rsid w:val="000A3E06"/>
    <w:rsid w:val="000A3E59"/>
    <w:rsid w:val="000A4482"/>
    <w:rsid w:val="000A49DA"/>
    <w:rsid w:val="000A76D3"/>
    <w:rsid w:val="000B0A91"/>
    <w:rsid w:val="000B2418"/>
    <w:rsid w:val="000B2CB9"/>
    <w:rsid w:val="000B33F6"/>
    <w:rsid w:val="000B3D86"/>
    <w:rsid w:val="000B4197"/>
    <w:rsid w:val="000B4A3C"/>
    <w:rsid w:val="000B60FD"/>
    <w:rsid w:val="000B76FE"/>
    <w:rsid w:val="000C09BD"/>
    <w:rsid w:val="000C4711"/>
    <w:rsid w:val="000C7770"/>
    <w:rsid w:val="000C7A14"/>
    <w:rsid w:val="000D3666"/>
    <w:rsid w:val="000D4913"/>
    <w:rsid w:val="000D4C27"/>
    <w:rsid w:val="000D5153"/>
    <w:rsid w:val="000E0841"/>
    <w:rsid w:val="000E1264"/>
    <w:rsid w:val="000E40A6"/>
    <w:rsid w:val="000E65C0"/>
    <w:rsid w:val="000F004E"/>
    <w:rsid w:val="000F2A5C"/>
    <w:rsid w:val="000F4936"/>
    <w:rsid w:val="000F52D7"/>
    <w:rsid w:val="000F7D6D"/>
    <w:rsid w:val="00106B72"/>
    <w:rsid w:val="00111A0E"/>
    <w:rsid w:val="00113446"/>
    <w:rsid w:val="00113F16"/>
    <w:rsid w:val="0011407F"/>
    <w:rsid w:val="0011502D"/>
    <w:rsid w:val="00116CC7"/>
    <w:rsid w:val="00117109"/>
    <w:rsid w:val="001176F3"/>
    <w:rsid w:val="00120230"/>
    <w:rsid w:val="00120879"/>
    <w:rsid w:val="00122426"/>
    <w:rsid w:val="00127D0C"/>
    <w:rsid w:val="00130A22"/>
    <w:rsid w:val="001358B0"/>
    <w:rsid w:val="0014577F"/>
    <w:rsid w:val="00146604"/>
    <w:rsid w:val="001478C4"/>
    <w:rsid w:val="0015441B"/>
    <w:rsid w:val="00157E8C"/>
    <w:rsid w:val="00163142"/>
    <w:rsid w:val="00164B43"/>
    <w:rsid w:val="00166AA0"/>
    <w:rsid w:val="00166DB0"/>
    <w:rsid w:val="00175016"/>
    <w:rsid w:val="00175C8E"/>
    <w:rsid w:val="001765F7"/>
    <w:rsid w:val="00181B26"/>
    <w:rsid w:val="00183DE4"/>
    <w:rsid w:val="001902A7"/>
    <w:rsid w:val="00190685"/>
    <w:rsid w:val="001A0E16"/>
    <w:rsid w:val="001A2424"/>
    <w:rsid w:val="001B0D47"/>
    <w:rsid w:val="001B111D"/>
    <w:rsid w:val="001B1232"/>
    <w:rsid w:val="001C37A6"/>
    <w:rsid w:val="001C5916"/>
    <w:rsid w:val="001C6303"/>
    <w:rsid w:val="001C6496"/>
    <w:rsid w:val="001C7256"/>
    <w:rsid w:val="001D3BDF"/>
    <w:rsid w:val="001E36A2"/>
    <w:rsid w:val="001F1601"/>
    <w:rsid w:val="001F3E3F"/>
    <w:rsid w:val="001F549A"/>
    <w:rsid w:val="001F57A4"/>
    <w:rsid w:val="001F5E5F"/>
    <w:rsid w:val="001F6926"/>
    <w:rsid w:val="00200EF9"/>
    <w:rsid w:val="002046BB"/>
    <w:rsid w:val="00204A88"/>
    <w:rsid w:val="00207BAD"/>
    <w:rsid w:val="00207BF6"/>
    <w:rsid w:val="00210C61"/>
    <w:rsid w:val="00211B72"/>
    <w:rsid w:val="00212CF2"/>
    <w:rsid w:val="00215266"/>
    <w:rsid w:val="002158C6"/>
    <w:rsid w:val="002159E9"/>
    <w:rsid w:val="00220F26"/>
    <w:rsid w:val="002224B7"/>
    <w:rsid w:val="00225BB2"/>
    <w:rsid w:val="002313BF"/>
    <w:rsid w:val="002314F3"/>
    <w:rsid w:val="0023203D"/>
    <w:rsid w:val="00234F93"/>
    <w:rsid w:val="00235000"/>
    <w:rsid w:val="0023574C"/>
    <w:rsid w:val="00243445"/>
    <w:rsid w:val="00243D43"/>
    <w:rsid w:val="0024529B"/>
    <w:rsid w:val="0024536B"/>
    <w:rsid w:val="00252624"/>
    <w:rsid w:val="00253FB7"/>
    <w:rsid w:val="0025453F"/>
    <w:rsid w:val="0025622D"/>
    <w:rsid w:val="00256EFC"/>
    <w:rsid w:val="0025708C"/>
    <w:rsid w:val="00257116"/>
    <w:rsid w:val="00260778"/>
    <w:rsid w:val="00260982"/>
    <w:rsid w:val="002656F3"/>
    <w:rsid w:val="00265CA6"/>
    <w:rsid w:val="00273DAE"/>
    <w:rsid w:val="0027519C"/>
    <w:rsid w:val="0027655A"/>
    <w:rsid w:val="00276B95"/>
    <w:rsid w:val="00277BD2"/>
    <w:rsid w:val="0028551C"/>
    <w:rsid w:val="00286A01"/>
    <w:rsid w:val="00286D68"/>
    <w:rsid w:val="002921AC"/>
    <w:rsid w:val="00296367"/>
    <w:rsid w:val="00296A69"/>
    <w:rsid w:val="00296DD2"/>
    <w:rsid w:val="002976A9"/>
    <w:rsid w:val="00297C5C"/>
    <w:rsid w:val="002A336A"/>
    <w:rsid w:val="002A3D32"/>
    <w:rsid w:val="002A42C6"/>
    <w:rsid w:val="002A69E4"/>
    <w:rsid w:val="002B0CE9"/>
    <w:rsid w:val="002B0E06"/>
    <w:rsid w:val="002B1A23"/>
    <w:rsid w:val="002B2A5E"/>
    <w:rsid w:val="002B308A"/>
    <w:rsid w:val="002B311E"/>
    <w:rsid w:val="002B3900"/>
    <w:rsid w:val="002B6094"/>
    <w:rsid w:val="002B6D47"/>
    <w:rsid w:val="002B7DEC"/>
    <w:rsid w:val="002C24CB"/>
    <w:rsid w:val="002C435A"/>
    <w:rsid w:val="002C6251"/>
    <w:rsid w:val="002D1F59"/>
    <w:rsid w:val="002D258E"/>
    <w:rsid w:val="002D42EE"/>
    <w:rsid w:val="002E1EEA"/>
    <w:rsid w:val="002E452D"/>
    <w:rsid w:val="002E4E40"/>
    <w:rsid w:val="002E54FA"/>
    <w:rsid w:val="002E5BEE"/>
    <w:rsid w:val="002E779E"/>
    <w:rsid w:val="002F05A7"/>
    <w:rsid w:val="002F0F66"/>
    <w:rsid w:val="002F1822"/>
    <w:rsid w:val="002F1C08"/>
    <w:rsid w:val="002F3654"/>
    <w:rsid w:val="002F4560"/>
    <w:rsid w:val="002F50D9"/>
    <w:rsid w:val="002F5585"/>
    <w:rsid w:val="003004B8"/>
    <w:rsid w:val="00301B8B"/>
    <w:rsid w:val="00307D64"/>
    <w:rsid w:val="003127A5"/>
    <w:rsid w:val="003145D5"/>
    <w:rsid w:val="00315B90"/>
    <w:rsid w:val="0031646E"/>
    <w:rsid w:val="00316DA7"/>
    <w:rsid w:val="0031789E"/>
    <w:rsid w:val="00320964"/>
    <w:rsid w:val="00324958"/>
    <w:rsid w:val="00330AFB"/>
    <w:rsid w:val="00331B00"/>
    <w:rsid w:val="00332515"/>
    <w:rsid w:val="003362BA"/>
    <w:rsid w:val="00344054"/>
    <w:rsid w:val="00344A2A"/>
    <w:rsid w:val="003454EA"/>
    <w:rsid w:val="003501D8"/>
    <w:rsid w:val="00350CB4"/>
    <w:rsid w:val="00351CCB"/>
    <w:rsid w:val="003550C2"/>
    <w:rsid w:val="00355AE9"/>
    <w:rsid w:val="00355CC1"/>
    <w:rsid w:val="00357EC5"/>
    <w:rsid w:val="00360B7D"/>
    <w:rsid w:val="003611C8"/>
    <w:rsid w:val="00365AFD"/>
    <w:rsid w:val="00366540"/>
    <w:rsid w:val="003666AF"/>
    <w:rsid w:val="00373B51"/>
    <w:rsid w:val="003819B7"/>
    <w:rsid w:val="00382632"/>
    <w:rsid w:val="0038312B"/>
    <w:rsid w:val="003847F5"/>
    <w:rsid w:val="00392B34"/>
    <w:rsid w:val="00396ABF"/>
    <w:rsid w:val="0039706D"/>
    <w:rsid w:val="003A1F84"/>
    <w:rsid w:val="003A2290"/>
    <w:rsid w:val="003A24FB"/>
    <w:rsid w:val="003A25CF"/>
    <w:rsid w:val="003A28BB"/>
    <w:rsid w:val="003A2FDE"/>
    <w:rsid w:val="003A4750"/>
    <w:rsid w:val="003B13BF"/>
    <w:rsid w:val="003B3DEB"/>
    <w:rsid w:val="003B414F"/>
    <w:rsid w:val="003B674B"/>
    <w:rsid w:val="003B7696"/>
    <w:rsid w:val="003B78E5"/>
    <w:rsid w:val="003C0F8A"/>
    <w:rsid w:val="003C2686"/>
    <w:rsid w:val="003C2E4B"/>
    <w:rsid w:val="003C50A0"/>
    <w:rsid w:val="003C5290"/>
    <w:rsid w:val="003C654D"/>
    <w:rsid w:val="003D08B0"/>
    <w:rsid w:val="003D0F5B"/>
    <w:rsid w:val="003D1453"/>
    <w:rsid w:val="003D1E77"/>
    <w:rsid w:val="003D24AB"/>
    <w:rsid w:val="003D3629"/>
    <w:rsid w:val="003D61BD"/>
    <w:rsid w:val="003D68A3"/>
    <w:rsid w:val="003E2857"/>
    <w:rsid w:val="003E2DFC"/>
    <w:rsid w:val="003E30C4"/>
    <w:rsid w:val="003E5AA0"/>
    <w:rsid w:val="003E6AF0"/>
    <w:rsid w:val="003F3C3C"/>
    <w:rsid w:val="003F3DC7"/>
    <w:rsid w:val="003F5F52"/>
    <w:rsid w:val="003F6664"/>
    <w:rsid w:val="003F6D82"/>
    <w:rsid w:val="0040143A"/>
    <w:rsid w:val="004023E6"/>
    <w:rsid w:val="00402E79"/>
    <w:rsid w:val="00407CC0"/>
    <w:rsid w:val="00410ACC"/>
    <w:rsid w:val="00411E91"/>
    <w:rsid w:val="00412EF6"/>
    <w:rsid w:val="00414EAC"/>
    <w:rsid w:val="00421511"/>
    <w:rsid w:val="00421BC7"/>
    <w:rsid w:val="00423196"/>
    <w:rsid w:val="00424AC4"/>
    <w:rsid w:val="00431A5D"/>
    <w:rsid w:val="00432F00"/>
    <w:rsid w:val="0043449C"/>
    <w:rsid w:val="0043644D"/>
    <w:rsid w:val="00440D97"/>
    <w:rsid w:val="00440ECB"/>
    <w:rsid w:val="00442626"/>
    <w:rsid w:val="00444B53"/>
    <w:rsid w:val="00445F3E"/>
    <w:rsid w:val="004460FC"/>
    <w:rsid w:val="004463C0"/>
    <w:rsid w:val="004509EB"/>
    <w:rsid w:val="00450E52"/>
    <w:rsid w:val="004511E4"/>
    <w:rsid w:val="00451C15"/>
    <w:rsid w:val="004533AA"/>
    <w:rsid w:val="00453B2A"/>
    <w:rsid w:val="00454ECC"/>
    <w:rsid w:val="004568B4"/>
    <w:rsid w:val="0045728B"/>
    <w:rsid w:val="00457DA4"/>
    <w:rsid w:val="00462249"/>
    <w:rsid w:val="004652EB"/>
    <w:rsid w:val="00466E8E"/>
    <w:rsid w:val="004736BB"/>
    <w:rsid w:val="00474C1C"/>
    <w:rsid w:val="0047794C"/>
    <w:rsid w:val="0048104C"/>
    <w:rsid w:val="004813D9"/>
    <w:rsid w:val="004827A2"/>
    <w:rsid w:val="00482CF3"/>
    <w:rsid w:val="004841CF"/>
    <w:rsid w:val="00486C8A"/>
    <w:rsid w:val="00493AAA"/>
    <w:rsid w:val="00493EB1"/>
    <w:rsid w:val="004A29E4"/>
    <w:rsid w:val="004A3440"/>
    <w:rsid w:val="004A38BA"/>
    <w:rsid w:val="004A4B79"/>
    <w:rsid w:val="004A5F89"/>
    <w:rsid w:val="004B116A"/>
    <w:rsid w:val="004B5D98"/>
    <w:rsid w:val="004B6FFC"/>
    <w:rsid w:val="004C2609"/>
    <w:rsid w:val="004C4A00"/>
    <w:rsid w:val="004C4BE0"/>
    <w:rsid w:val="004C5858"/>
    <w:rsid w:val="004C5AFE"/>
    <w:rsid w:val="004C7CC8"/>
    <w:rsid w:val="004D3100"/>
    <w:rsid w:val="004D4230"/>
    <w:rsid w:val="004D70FF"/>
    <w:rsid w:val="004E1CB7"/>
    <w:rsid w:val="004E6CFF"/>
    <w:rsid w:val="004F2956"/>
    <w:rsid w:val="004F4D74"/>
    <w:rsid w:val="004F5253"/>
    <w:rsid w:val="004F53A1"/>
    <w:rsid w:val="004F641A"/>
    <w:rsid w:val="004F6658"/>
    <w:rsid w:val="0050231A"/>
    <w:rsid w:val="00503CF6"/>
    <w:rsid w:val="005076FC"/>
    <w:rsid w:val="005108E2"/>
    <w:rsid w:val="00510C6F"/>
    <w:rsid w:val="00512720"/>
    <w:rsid w:val="00516020"/>
    <w:rsid w:val="00520956"/>
    <w:rsid w:val="005214C4"/>
    <w:rsid w:val="00523A5A"/>
    <w:rsid w:val="00524D6E"/>
    <w:rsid w:val="00530A01"/>
    <w:rsid w:val="005358B8"/>
    <w:rsid w:val="005376DD"/>
    <w:rsid w:val="005377D3"/>
    <w:rsid w:val="005411A3"/>
    <w:rsid w:val="005419FF"/>
    <w:rsid w:val="0054677B"/>
    <w:rsid w:val="005514B8"/>
    <w:rsid w:val="00552C45"/>
    <w:rsid w:val="005561E1"/>
    <w:rsid w:val="005618D7"/>
    <w:rsid w:val="00562EE2"/>
    <w:rsid w:val="005701F6"/>
    <w:rsid w:val="005727DD"/>
    <w:rsid w:val="00573740"/>
    <w:rsid w:val="00573B22"/>
    <w:rsid w:val="00574D3F"/>
    <w:rsid w:val="0057557C"/>
    <w:rsid w:val="0057683A"/>
    <w:rsid w:val="00581518"/>
    <w:rsid w:val="00585283"/>
    <w:rsid w:val="00586024"/>
    <w:rsid w:val="00586CDA"/>
    <w:rsid w:val="00590597"/>
    <w:rsid w:val="00590789"/>
    <w:rsid w:val="00591E62"/>
    <w:rsid w:val="00594522"/>
    <w:rsid w:val="00594680"/>
    <w:rsid w:val="00597ACA"/>
    <w:rsid w:val="005A0FC3"/>
    <w:rsid w:val="005A1039"/>
    <w:rsid w:val="005A414C"/>
    <w:rsid w:val="005B69C2"/>
    <w:rsid w:val="005B6EE4"/>
    <w:rsid w:val="005B7C67"/>
    <w:rsid w:val="005C0909"/>
    <w:rsid w:val="005C2732"/>
    <w:rsid w:val="005D0429"/>
    <w:rsid w:val="005D126F"/>
    <w:rsid w:val="005E0038"/>
    <w:rsid w:val="005E2EE8"/>
    <w:rsid w:val="005E532F"/>
    <w:rsid w:val="005E680E"/>
    <w:rsid w:val="005F0290"/>
    <w:rsid w:val="005F0CD6"/>
    <w:rsid w:val="005F1C0A"/>
    <w:rsid w:val="005F4432"/>
    <w:rsid w:val="005F6B20"/>
    <w:rsid w:val="00600A1C"/>
    <w:rsid w:val="00600ED8"/>
    <w:rsid w:val="00601743"/>
    <w:rsid w:val="00601B4C"/>
    <w:rsid w:val="0060216D"/>
    <w:rsid w:val="00604345"/>
    <w:rsid w:val="00607B42"/>
    <w:rsid w:val="00616F68"/>
    <w:rsid w:val="0062027E"/>
    <w:rsid w:val="006244CD"/>
    <w:rsid w:val="006313FF"/>
    <w:rsid w:val="006324E4"/>
    <w:rsid w:val="006326DF"/>
    <w:rsid w:val="00644125"/>
    <w:rsid w:val="00644B82"/>
    <w:rsid w:val="00647919"/>
    <w:rsid w:val="00650C29"/>
    <w:rsid w:val="00652E49"/>
    <w:rsid w:val="00653891"/>
    <w:rsid w:val="006543A5"/>
    <w:rsid w:val="0065578B"/>
    <w:rsid w:val="0065714E"/>
    <w:rsid w:val="006602FF"/>
    <w:rsid w:val="0066286D"/>
    <w:rsid w:val="00664512"/>
    <w:rsid w:val="00667451"/>
    <w:rsid w:val="006718EA"/>
    <w:rsid w:val="0067200A"/>
    <w:rsid w:val="00673FF6"/>
    <w:rsid w:val="0068147B"/>
    <w:rsid w:val="00684ABD"/>
    <w:rsid w:val="00684ADC"/>
    <w:rsid w:val="00686548"/>
    <w:rsid w:val="006904F8"/>
    <w:rsid w:val="00690A61"/>
    <w:rsid w:val="006916FE"/>
    <w:rsid w:val="00692B08"/>
    <w:rsid w:val="006931F5"/>
    <w:rsid w:val="00695383"/>
    <w:rsid w:val="00697FAB"/>
    <w:rsid w:val="006A0B9B"/>
    <w:rsid w:val="006A378D"/>
    <w:rsid w:val="006A4EA2"/>
    <w:rsid w:val="006B113C"/>
    <w:rsid w:val="006B3B85"/>
    <w:rsid w:val="006C0A2B"/>
    <w:rsid w:val="006C0B28"/>
    <w:rsid w:val="006C2127"/>
    <w:rsid w:val="006C25A4"/>
    <w:rsid w:val="006C28B7"/>
    <w:rsid w:val="006C4160"/>
    <w:rsid w:val="006C55BE"/>
    <w:rsid w:val="006C7E33"/>
    <w:rsid w:val="006D0870"/>
    <w:rsid w:val="006D1E81"/>
    <w:rsid w:val="006E08B1"/>
    <w:rsid w:val="006E1986"/>
    <w:rsid w:val="006E2B56"/>
    <w:rsid w:val="006E352E"/>
    <w:rsid w:val="006E4442"/>
    <w:rsid w:val="006E687F"/>
    <w:rsid w:val="006F032B"/>
    <w:rsid w:val="006F124B"/>
    <w:rsid w:val="006F7F85"/>
    <w:rsid w:val="0070141A"/>
    <w:rsid w:val="00703753"/>
    <w:rsid w:val="00703B0F"/>
    <w:rsid w:val="007040BE"/>
    <w:rsid w:val="0070533B"/>
    <w:rsid w:val="00706888"/>
    <w:rsid w:val="00707CC4"/>
    <w:rsid w:val="00710434"/>
    <w:rsid w:val="00714D4F"/>
    <w:rsid w:val="00714D96"/>
    <w:rsid w:val="00715C97"/>
    <w:rsid w:val="00717491"/>
    <w:rsid w:val="007252BB"/>
    <w:rsid w:val="00730EA9"/>
    <w:rsid w:val="00734BF9"/>
    <w:rsid w:val="00736A28"/>
    <w:rsid w:val="00737556"/>
    <w:rsid w:val="007421A0"/>
    <w:rsid w:val="00742A93"/>
    <w:rsid w:val="007458BF"/>
    <w:rsid w:val="00746204"/>
    <w:rsid w:val="007468CC"/>
    <w:rsid w:val="00747130"/>
    <w:rsid w:val="007518F9"/>
    <w:rsid w:val="00755F85"/>
    <w:rsid w:val="00757F03"/>
    <w:rsid w:val="007613B2"/>
    <w:rsid w:val="0076222E"/>
    <w:rsid w:val="00763C65"/>
    <w:rsid w:val="007643FE"/>
    <w:rsid w:val="00764561"/>
    <w:rsid w:val="00773C89"/>
    <w:rsid w:val="0077534A"/>
    <w:rsid w:val="00781FFE"/>
    <w:rsid w:val="00782108"/>
    <w:rsid w:val="00782152"/>
    <w:rsid w:val="00784A16"/>
    <w:rsid w:val="00787E1C"/>
    <w:rsid w:val="0079351A"/>
    <w:rsid w:val="00793FA9"/>
    <w:rsid w:val="00795C99"/>
    <w:rsid w:val="007A0CF9"/>
    <w:rsid w:val="007A58E0"/>
    <w:rsid w:val="007A7E01"/>
    <w:rsid w:val="007B03CA"/>
    <w:rsid w:val="007B05D1"/>
    <w:rsid w:val="007B0AE7"/>
    <w:rsid w:val="007B1A55"/>
    <w:rsid w:val="007B3B86"/>
    <w:rsid w:val="007B520F"/>
    <w:rsid w:val="007B7CEE"/>
    <w:rsid w:val="007C09CA"/>
    <w:rsid w:val="007C1A2D"/>
    <w:rsid w:val="007C24EA"/>
    <w:rsid w:val="007C2A65"/>
    <w:rsid w:val="007C56CD"/>
    <w:rsid w:val="007C602C"/>
    <w:rsid w:val="007C785B"/>
    <w:rsid w:val="007D1C60"/>
    <w:rsid w:val="007D24F8"/>
    <w:rsid w:val="007D347D"/>
    <w:rsid w:val="007D596C"/>
    <w:rsid w:val="007D6C35"/>
    <w:rsid w:val="007D7313"/>
    <w:rsid w:val="007E34D9"/>
    <w:rsid w:val="007E6ED2"/>
    <w:rsid w:val="007E7C13"/>
    <w:rsid w:val="007F039E"/>
    <w:rsid w:val="007F3230"/>
    <w:rsid w:val="007F5DF4"/>
    <w:rsid w:val="007F701E"/>
    <w:rsid w:val="00802C5E"/>
    <w:rsid w:val="00802EEC"/>
    <w:rsid w:val="00811747"/>
    <w:rsid w:val="00812BF5"/>
    <w:rsid w:val="008131D1"/>
    <w:rsid w:val="00814D67"/>
    <w:rsid w:val="00815E7D"/>
    <w:rsid w:val="008166E0"/>
    <w:rsid w:val="00826D04"/>
    <w:rsid w:val="00826DFF"/>
    <w:rsid w:val="00827AF0"/>
    <w:rsid w:val="0083392B"/>
    <w:rsid w:val="0084385F"/>
    <w:rsid w:val="00844A77"/>
    <w:rsid w:val="008474BD"/>
    <w:rsid w:val="00847B39"/>
    <w:rsid w:val="008527D4"/>
    <w:rsid w:val="0085311E"/>
    <w:rsid w:val="00854FA7"/>
    <w:rsid w:val="0086422B"/>
    <w:rsid w:val="00864C2D"/>
    <w:rsid w:val="0087342F"/>
    <w:rsid w:val="00893233"/>
    <w:rsid w:val="00894AC4"/>
    <w:rsid w:val="00894AEE"/>
    <w:rsid w:val="00895539"/>
    <w:rsid w:val="0089762E"/>
    <w:rsid w:val="00897803"/>
    <w:rsid w:val="008A2F9D"/>
    <w:rsid w:val="008A36AD"/>
    <w:rsid w:val="008B11E0"/>
    <w:rsid w:val="008B1C4D"/>
    <w:rsid w:val="008B44B8"/>
    <w:rsid w:val="008C00E4"/>
    <w:rsid w:val="008C10BB"/>
    <w:rsid w:val="008D0E3F"/>
    <w:rsid w:val="008D203C"/>
    <w:rsid w:val="008D5780"/>
    <w:rsid w:val="008E0A81"/>
    <w:rsid w:val="008E1E28"/>
    <w:rsid w:val="008E238C"/>
    <w:rsid w:val="008E3550"/>
    <w:rsid w:val="008E453D"/>
    <w:rsid w:val="008E503D"/>
    <w:rsid w:val="008E7F27"/>
    <w:rsid w:val="008F05B3"/>
    <w:rsid w:val="008F1A00"/>
    <w:rsid w:val="008F3D3E"/>
    <w:rsid w:val="008F5848"/>
    <w:rsid w:val="0090337D"/>
    <w:rsid w:val="009049F3"/>
    <w:rsid w:val="0091146C"/>
    <w:rsid w:val="00914A89"/>
    <w:rsid w:val="00915826"/>
    <w:rsid w:val="009161A2"/>
    <w:rsid w:val="0091657F"/>
    <w:rsid w:val="009276BA"/>
    <w:rsid w:val="009304D1"/>
    <w:rsid w:val="009305D5"/>
    <w:rsid w:val="00931EFA"/>
    <w:rsid w:val="00934CC3"/>
    <w:rsid w:val="00935139"/>
    <w:rsid w:val="00944B0E"/>
    <w:rsid w:val="0095021B"/>
    <w:rsid w:val="00950E85"/>
    <w:rsid w:val="00952B82"/>
    <w:rsid w:val="00955967"/>
    <w:rsid w:val="009660DB"/>
    <w:rsid w:val="009663C6"/>
    <w:rsid w:val="00966CF2"/>
    <w:rsid w:val="00973452"/>
    <w:rsid w:val="0097445B"/>
    <w:rsid w:val="009765BE"/>
    <w:rsid w:val="00976DA7"/>
    <w:rsid w:val="00976F81"/>
    <w:rsid w:val="00977F21"/>
    <w:rsid w:val="009800E7"/>
    <w:rsid w:val="009802FC"/>
    <w:rsid w:val="009806D7"/>
    <w:rsid w:val="0098101F"/>
    <w:rsid w:val="0099029E"/>
    <w:rsid w:val="009918F4"/>
    <w:rsid w:val="009922A2"/>
    <w:rsid w:val="00994FAC"/>
    <w:rsid w:val="009A0ED2"/>
    <w:rsid w:val="009A1E95"/>
    <w:rsid w:val="009A3091"/>
    <w:rsid w:val="009A3595"/>
    <w:rsid w:val="009A4B08"/>
    <w:rsid w:val="009A6679"/>
    <w:rsid w:val="009A7246"/>
    <w:rsid w:val="009B19BD"/>
    <w:rsid w:val="009B1D90"/>
    <w:rsid w:val="009B284E"/>
    <w:rsid w:val="009B2863"/>
    <w:rsid w:val="009B2F0D"/>
    <w:rsid w:val="009B52C6"/>
    <w:rsid w:val="009B5451"/>
    <w:rsid w:val="009B5EB0"/>
    <w:rsid w:val="009B65A5"/>
    <w:rsid w:val="009B7D46"/>
    <w:rsid w:val="009C0D08"/>
    <w:rsid w:val="009C0DC7"/>
    <w:rsid w:val="009C119F"/>
    <w:rsid w:val="009C2004"/>
    <w:rsid w:val="009C20D7"/>
    <w:rsid w:val="009C5BE5"/>
    <w:rsid w:val="009D43F0"/>
    <w:rsid w:val="009D5BF6"/>
    <w:rsid w:val="009D6BA6"/>
    <w:rsid w:val="009D6C64"/>
    <w:rsid w:val="009E2142"/>
    <w:rsid w:val="009E4971"/>
    <w:rsid w:val="009F1079"/>
    <w:rsid w:val="009F1974"/>
    <w:rsid w:val="009F200D"/>
    <w:rsid w:val="009F2852"/>
    <w:rsid w:val="009F3C06"/>
    <w:rsid w:val="009F3CD1"/>
    <w:rsid w:val="009F69E2"/>
    <w:rsid w:val="009F6C96"/>
    <w:rsid w:val="009F76E6"/>
    <w:rsid w:val="00A02ABD"/>
    <w:rsid w:val="00A03F91"/>
    <w:rsid w:val="00A127CB"/>
    <w:rsid w:val="00A14B4F"/>
    <w:rsid w:val="00A1570A"/>
    <w:rsid w:val="00A16BCA"/>
    <w:rsid w:val="00A17EA7"/>
    <w:rsid w:val="00A2007B"/>
    <w:rsid w:val="00A200C1"/>
    <w:rsid w:val="00A2417A"/>
    <w:rsid w:val="00A24916"/>
    <w:rsid w:val="00A2582F"/>
    <w:rsid w:val="00A26280"/>
    <w:rsid w:val="00A30129"/>
    <w:rsid w:val="00A31701"/>
    <w:rsid w:val="00A31A6F"/>
    <w:rsid w:val="00A3488F"/>
    <w:rsid w:val="00A368BC"/>
    <w:rsid w:val="00A37FDF"/>
    <w:rsid w:val="00A40FF3"/>
    <w:rsid w:val="00A41453"/>
    <w:rsid w:val="00A436B0"/>
    <w:rsid w:val="00A46AAB"/>
    <w:rsid w:val="00A477E2"/>
    <w:rsid w:val="00A50E2E"/>
    <w:rsid w:val="00A51A74"/>
    <w:rsid w:val="00A51DF4"/>
    <w:rsid w:val="00A51FF5"/>
    <w:rsid w:val="00A52119"/>
    <w:rsid w:val="00A537BD"/>
    <w:rsid w:val="00A547CD"/>
    <w:rsid w:val="00A54896"/>
    <w:rsid w:val="00A552FE"/>
    <w:rsid w:val="00A567F6"/>
    <w:rsid w:val="00A5714E"/>
    <w:rsid w:val="00A57AA9"/>
    <w:rsid w:val="00A600D3"/>
    <w:rsid w:val="00A60112"/>
    <w:rsid w:val="00A602AD"/>
    <w:rsid w:val="00A614BF"/>
    <w:rsid w:val="00A6312C"/>
    <w:rsid w:val="00A63929"/>
    <w:rsid w:val="00A64A4A"/>
    <w:rsid w:val="00A66DDF"/>
    <w:rsid w:val="00A75EBF"/>
    <w:rsid w:val="00A7652B"/>
    <w:rsid w:val="00A76573"/>
    <w:rsid w:val="00A80E00"/>
    <w:rsid w:val="00A80E41"/>
    <w:rsid w:val="00A812B7"/>
    <w:rsid w:val="00A831BC"/>
    <w:rsid w:val="00A87041"/>
    <w:rsid w:val="00A90309"/>
    <w:rsid w:val="00A90F11"/>
    <w:rsid w:val="00A91933"/>
    <w:rsid w:val="00A91DCE"/>
    <w:rsid w:val="00A94B52"/>
    <w:rsid w:val="00A95712"/>
    <w:rsid w:val="00AA5C69"/>
    <w:rsid w:val="00AA6E80"/>
    <w:rsid w:val="00AA7551"/>
    <w:rsid w:val="00AA7E83"/>
    <w:rsid w:val="00AC13E2"/>
    <w:rsid w:val="00AC1509"/>
    <w:rsid w:val="00AC285C"/>
    <w:rsid w:val="00AC2CB3"/>
    <w:rsid w:val="00AC4278"/>
    <w:rsid w:val="00AC487C"/>
    <w:rsid w:val="00AC52C1"/>
    <w:rsid w:val="00AD2179"/>
    <w:rsid w:val="00AD4745"/>
    <w:rsid w:val="00AD6BA5"/>
    <w:rsid w:val="00AD7195"/>
    <w:rsid w:val="00AD7569"/>
    <w:rsid w:val="00AD7CAC"/>
    <w:rsid w:val="00AE17DD"/>
    <w:rsid w:val="00AE1C85"/>
    <w:rsid w:val="00AE1CC8"/>
    <w:rsid w:val="00AE4C6E"/>
    <w:rsid w:val="00AF1833"/>
    <w:rsid w:val="00AF3441"/>
    <w:rsid w:val="00AF572C"/>
    <w:rsid w:val="00AF5D28"/>
    <w:rsid w:val="00AF681E"/>
    <w:rsid w:val="00AF752B"/>
    <w:rsid w:val="00AF7C35"/>
    <w:rsid w:val="00B00A10"/>
    <w:rsid w:val="00B01F86"/>
    <w:rsid w:val="00B02D40"/>
    <w:rsid w:val="00B03DDA"/>
    <w:rsid w:val="00B03EDC"/>
    <w:rsid w:val="00B0515D"/>
    <w:rsid w:val="00B07F23"/>
    <w:rsid w:val="00B1117B"/>
    <w:rsid w:val="00B1162D"/>
    <w:rsid w:val="00B11AF4"/>
    <w:rsid w:val="00B13CC9"/>
    <w:rsid w:val="00B14EF9"/>
    <w:rsid w:val="00B1572E"/>
    <w:rsid w:val="00B157D6"/>
    <w:rsid w:val="00B16A22"/>
    <w:rsid w:val="00B16F88"/>
    <w:rsid w:val="00B22CC4"/>
    <w:rsid w:val="00B2335D"/>
    <w:rsid w:val="00B23B40"/>
    <w:rsid w:val="00B24DB3"/>
    <w:rsid w:val="00B25697"/>
    <w:rsid w:val="00B300BF"/>
    <w:rsid w:val="00B306C8"/>
    <w:rsid w:val="00B3075B"/>
    <w:rsid w:val="00B31996"/>
    <w:rsid w:val="00B34E05"/>
    <w:rsid w:val="00B36C6A"/>
    <w:rsid w:val="00B43FC7"/>
    <w:rsid w:val="00B4530D"/>
    <w:rsid w:val="00B5024F"/>
    <w:rsid w:val="00B5066C"/>
    <w:rsid w:val="00B515E2"/>
    <w:rsid w:val="00B51B7A"/>
    <w:rsid w:val="00B55AFC"/>
    <w:rsid w:val="00B60749"/>
    <w:rsid w:val="00B614E9"/>
    <w:rsid w:val="00B62908"/>
    <w:rsid w:val="00B62CF2"/>
    <w:rsid w:val="00B659C7"/>
    <w:rsid w:val="00B66184"/>
    <w:rsid w:val="00B70BD0"/>
    <w:rsid w:val="00B72A64"/>
    <w:rsid w:val="00B7451C"/>
    <w:rsid w:val="00B75BFC"/>
    <w:rsid w:val="00B77FEA"/>
    <w:rsid w:val="00B80943"/>
    <w:rsid w:val="00B80F5A"/>
    <w:rsid w:val="00B8199A"/>
    <w:rsid w:val="00B82F32"/>
    <w:rsid w:val="00B8305D"/>
    <w:rsid w:val="00B854B3"/>
    <w:rsid w:val="00B90200"/>
    <w:rsid w:val="00B90D5D"/>
    <w:rsid w:val="00B92420"/>
    <w:rsid w:val="00B9400F"/>
    <w:rsid w:val="00B97490"/>
    <w:rsid w:val="00B97A4A"/>
    <w:rsid w:val="00B97B73"/>
    <w:rsid w:val="00BA1165"/>
    <w:rsid w:val="00BA395F"/>
    <w:rsid w:val="00BA3CD5"/>
    <w:rsid w:val="00BA7D87"/>
    <w:rsid w:val="00BB01D6"/>
    <w:rsid w:val="00BB1B2A"/>
    <w:rsid w:val="00BB4140"/>
    <w:rsid w:val="00BB6EE1"/>
    <w:rsid w:val="00BC3EFA"/>
    <w:rsid w:val="00BC7C16"/>
    <w:rsid w:val="00BD0BEE"/>
    <w:rsid w:val="00BD1595"/>
    <w:rsid w:val="00BD3BB5"/>
    <w:rsid w:val="00BD3DB0"/>
    <w:rsid w:val="00BD57C1"/>
    <w:rsid w:val="00BE1499"/>
    <w:rsid w:val="00BE3BE4"/>
    <w:rsid w:val="00BE5DB0"/>
    <w:rsid w:val="00BE7184"/>
    <w:rsid w:val="00BE73C3"/>
    <w:rsid w:val="00BE75D3"/>
    <w:rsid w:val="00BF03EF"/>
    <w:rsid w:val="00BF13FD"/>
    <w:rsid w:val="00BF17C4"/>
    <w:rsid w:val="00BF1E92"/>
    <w:rsid w:val="00BF202D"/>
    <w:rsid w:val="00BF31D4"/>
    <w:rsid w:val="00BF4C1B"/>
    <w:rsid w:val="00C01435"/>
    <w:rsid w:val="00C04AA2"/>
    <w:rsid w:val="00C0796F"/>
    <w:rsid w:val="00C07D94"/>
    <w:rsid w:val="00C07F50"/>
    <w:rsid w:val="00C100E1"/>
    <w:rsid w:val="00C11CF6"/>
    <w:rsid w:val="00C122DF"/>
    <w:rsid w:val="00C129E5"/>
    <w:rsid w:val="00C13A44"/>
    <w:rsid w:val="00C142E9"/>
    <w:rsid w:val="00C161B1"/>
    <w:rsid w:val="00C211EC"/>
    <w:rsid w:val="00C221E3"/>
    <w:rsid w:val="00C23A04"/>
    <w:rsid w:val="00C2616C"/>
    <w:rsid w:val="00C26219"/>
    <w:rsid w:val="00C27E9C"/>
    <w:rsid w:val="00C36432"/>
    <w:rsid w:val="00C36437"/>
    <w:rsid w:val="00C4080A"/>
    <w:rsid w:val="00C415E1"/>
    <w:rsid w:val="00C4220C"/>
    <w:rsid w:val="00C42A8C"/>
    <w:rsid w:val="00C44D89"/>
    <w:rsid w:val="00C4522F"/>
    <w:rsid w:val="00C45B31"/>
    <w:rsid w:val="00C4617E"/>
    <w:rsid w:val="00C46273"/>
    <w:rsid w:val="00C46445"/>
    <w:rsid w:val="00C46F12"/>
    <w:rsid w:val="00C51246"/>
    <w:rsid w:val="00C51D11"/>
    <w:rsid w:val="00C541A3"/>
    <w:rsid w:val="00C5524C"/>
    <w:rsid w:val="00C5582C"/>
    <w:rsid w:val="00C55FB7"/>
    <w:rsid w:val="00C57A35"/>
    <w:rsid w:val="00C606D6"/>
    <w:rsid w:val="00C616F4"/>
    <w:rsid w:val="00C626A2"/>
    <w:rsid w:val="00C62C63"/>
    <w:rsid w:val="00C630FB"/>
    <w:rsid w:val="00C637C8"/>
    <w:rsid w:val="00C65418"/>
    <w:rsid w:val="00C74918"/>
    <w:rsid w:val="00C75AF7"/>
    <w:rsid w:val="00C75CE9"/>
    <w:rsid w:val="00C76929"/>
    <w:rsid w:val="00C76C19"/>
    <w:rsid w:val="00C8087E"/>
    <w:rsid w:val="00C80EB3"/>
    <w:rsid w:val="00C85C7F"/>
    <w:rsid w:val="00C87454"/>
    <w:rsid w:val="00C87E6D"/>
    <w:rsid w:val="00C92FD5"/>
    <w:rsid w:val="00C937BF"/>
    <w:rsid w:val="00C974A4"/>
    <w:rsid w:val="00CA0529"/>
    <w:rsid w:val="00CA063B"/>
    <w:rsid w:val="00CA2872"/>
    <w:rsid w:val="00CA350F"/>
    <w:rsid w:val="00CA6CDE"/>
    <w:rsid w:val="00CB0A58"/>
    <w:rsid w:val="00CB26D3"/>
    <w:rsid w:val="00CB421E"/>
    <w:rsid w:val="00CB5708"/>
    <w:rsid w:val="00CB7C15"/>
    <w:rsid w:val="00CC2C7F"/>
    <w:rsid w:val="00CC587E"/>
    <w:rsid w:val="00CD002A"/>
    <w:rsid w:val="00CD2503"/>
    <w:rsid w:val="00CD2FFC"/>
    <w:rsid w:val="00CD5356"/>
    <w:rsid w:val="00CE1AE2"/>
    <w:rsid w:val="00CE337D"/>
    <w:rsid w:val="00CE67A3"/>
    <w:rsid w:val="00CE67DC"/>
    <w:rsid w:val="00CE6B3A"/>
    <w:rsid w:val="00CE7643"/>
    <w:rsid w:val="00CE7D4F"/>
    <w:rsid w:val="00CF0027"/>
    <w:rsid w:val="00CF6073"/>
    <w:rsid w:val="00D006C8"/>
    <w:rsid w:val="00D00D08"/>
    <w:rsid w:val="00D02C5F"/>
    <w:rsid w:val="00D02E91"/>
    <w:rsid w:val="00D04A82"/>
    <w:rsid w:val="00D05015"/>
    <w:rsid w:val="00D05B45"/>
    <w:rsid w:val="00D12948"/>
    <w:rsid w:val="00D12E26"/>
    <w:rsid w:val="00D14B8C"/>
    <w:rsid w:val="00D15CFE"/>
    <w:rsid w:val="00D1782B"/>
    <w:rsid w:val="00D216D4"/>
    <w:rsid w:val="00D23E38"/>
    <w:rsid w:val="00D23F9F"/>
    <w:rsid w:val="00D24737"/>
    <w:rsid w:val="00D2567F"/>
    <w:rsid w:val="00D2593C"/>
    <w:rsid w:val="00D27751"/>
    <w:rsid w:val="00D30C45"/>
    <w:rsid w:val="00D31782"/>
    <w:rsid w:val="00D331A0"/>
    <w:rsid w:val="00D33AA2"/>
    <w:rsid w:val="00D41894"/>
    <w:rsid w:val="00D4203C"/>
    <w:rsid w:val="00D4739F"/>
    <w:rsid w:val="00D50726"/>
    <w:rsid w:val="00D55469"/>
    <w:rsid w:val="00D5593C"/>
    <w:rsid w:val="00D578D7"/>
    <w:rsid w:val="00D61A54"/>
    <w:rsid w:val="00D61AE1"/>
    <w:rsid w:val="00D627B5"/>
    <w:rsid w:val="00D63BC1"/>
    <w:rsid w:val="00D6681B"/>
    <w:rsid w:val="00D71B84"/>
    <w:rsid w:val="00D71E05"/>
    <w:rsid w:val="00D729B6"/>
    <w:rsid w:val="00D736D7"/>
    <w:rsid w:val="00D74AAE"/>
    <w:rsid w:val="00D75818"/>
    <w:rsid w:val="00D7594B"/>
    <w:rsid w:val="00D8301D"/>
    <w:rsid w:val="00D857C9"/>
    <w:rsid w:val="00D866E7"/>
    <w:rsid w:val="00D87E6C"/>
    <w:rsid w:val="00D90230"/>
    <w:rsid w:val="00D90D4B"/>
    <w:rsid w:val="00D92CB4"/>
    <w:rsid w:val="00D93627"/>
    <w:rsid w:val="00D9447B"/>
    <w:rsid w:val="00D95448"/>
    <w:rsid w:val="00D95CF3"/>
    <w:rsid w:val="00D9796E"/>
    <w:rsid w:val="00DA0763"/>
    <w:rsid w:val="00DA3F1E"/>
    <w:rsid w:val="00DA53E3"/>
    <w:rsid w:val="00DA619A"/>
    <w:rsid w:val="00DA6BBA"/>
    <w:rsid w:val="00DA7B32"/>
    <w:rsid w:val="00DB0297"/>
    <w:rsid w:val="00DB1064"/>
    <w:rsid w:val="00DB2339"/>
    <w:rsid w:val="00DB483A"/>
    <w:rsid w:val="00DB4A19"/>
    <w:rsid w:val="00DB5029"/>
    <w:rsid w:val="00DB5E05"/>
    <w:rsid w:val="00DB6732"/>
    <w:rsid w:val="00DD36EB"/>
    <w:rsid w:val="00DD3814"/>
    <w:rsid w:val="00DD3D18"/>
    <w:rsid w:val="00DD4C13"/>
    <w:rsid w:val="00DD53DC"/>
    <w:rsid w:val="00DD6887"/>
    <w:rsid w:val="00DE12D2"/>
    <w:rsid w:val="00DE1E89"/>
    <w:rsid w:val="00DE5B47"/>
    <w:rsid w:val="00DE6F84"/>
    <w:rsid w:val="00DF0A29"/>
    <w:rsid w:val="00DF587B"/>
    <w:rsid w:val="00DF6E04"/>
    <w:rsid w:val="00E015A2"/>
    <w:rsid w:val="00E04C29"/>
    <w:rsid w:val="00E05FBB"/>
    <w:rsid w:val="00E0608B"/>
    <w:rsid w:val="00E16576"/>
    <w:rsid w:val="00E22449"/>
    <w:rsid w:val="00E246D7"/>
    <w:rsid w:val="00E25A43"/>
    <w:rsid w:val="00E2789F"/>
    <w:rsid w:val="00E30122"/>
    <w:rsid w:val="00E327B6"/>
    <w:rsid w:val="00E33A1E"/>
    <w:rsid w:val="00E34427"/>
    <w:rsid w:val="00E4071B"/>
    <w:rsid w:val="00E43AAC"/>
    <w:rsid w:val="00E441E4"/>
    <w:rsid w:val="00E45DE2"/>
    <w:rsid w:val="00E47AFC"/>
    <w:rsid w:val="00E50D39"/>
    <w:rsid w:val="00E54E23"/>
    <w:rsid w:val="00E56530"/>
    <w:rsid w:val="00E61C21"/>
    <w:rsid w:val="00E64681"/>
    <w:rsid w:val="00E65838"/>
    <w:rsid w:val="00E67542"/>
    <w:rsid w:val="00E67764"/>
    <w:rsid w:val="00E67E56"/>
    <w:rsid w:val="00E67F3C"/>
    <w:rsid w:val="00E7166C"/>
    <w:rsid w:val="00E71EAC"/>
    <w:rsid w:val="00E7567D"/>
    <w:rsid w:val="00E774F2"/>
    <w:rsid w:val="00E82258"/>
    <w:rsid w:val="00E82C89"/>
    <w:rsid w:val="00E835C0"/>
    <w:rsid w:val="00E917F1"/>
    <w:rsid w:val="00EA24CC"/>
    <w:rsid w:val="00EA24DB"/>
    <w:rsid w:val="00EA2A57"/>
    <w:rsid w:val="00EA75A1"/>
    <w:rsid w:val="00EB3AC7"/>
    <w:rsid w:val="00EB5162"/>
    <w:rsid w:val="00EC2E8C"/>
    <w:rsid w:val="00EC3644"/>
    <w:rsid w:val="00EC3EB2"/>
    <w:rsid w:val="00EC4BCB"/>
    <w:rsid w:val="00EC5D34"/>
    <w:rsid w:val="00EC6A47"/>
    <w:rsid w:val="00ED091E"/>
    <w:rsid w:val="00ED10DE"/>
    <w:rsid w:val="00ED120D"/>
    <w:rsid w:val="00ED32FA"/>
    <w:rsid w:val="00ED40B4"/>
    <w:rsid w:val="00ED614E"/>
    <w:rsid w:val="00ED6D68"/>
    <w:rsid w:val="00EE1644"/>
    <w:rsid w:val="00EE36F8"/>
    <w:rsid w:val="00EE5A96"/>
    <w:rsid w:val="00EE780C"/>
    <w:rsid w:val="00EF5DA9"/>
    <w:rsid w:val="00EF6CCE"/>
    <w:rsid w:val="00EF7C8F"/>
    <w:rsid w:val="00F134CE"/>
    <w:rsid w:val="00F147A2"/>
    <w:rsid w:val="00F1601C"/>
    <w:rsid w:val="00F16403"/>
    <w:rsid w:val="00F16415"/>
    <w:rsid w:val="00F23481"/>
    <w:rsid w:val="00F23844"/>
    <w:rsid w:val="00F26B82"/>
    <w:rsid w:val="00F322A8"/>
    <w:rsid w:val="00F33A74"/>
    <w:rsid w:val="00F34803"/>
    <w:rsid w:val="00F358A3"/>
    <w:rsid w:val="00F35A8D"/>
    <w:rsid w:val="00F35D20"/>
    <w:rsid w:val="00F3648E"/>
    <w:rsid w:val="00F41211"/>
    <w:rsid w:val="00F42036"/>
    <w:rsid w:val="00F42F12"/>
    <w:rsid w:val="00F430C7"/>
    <w:rsid w:val="00F44831"/>
    <w:rsid w:val="00F44F2B"/>
    <w:rsid w:val="00F51BF5"/>
    <w:rsid w:val="00F52F34"/>
    <w:rsid w:val="00F5307C"/>
    <w:rsid w:val="00F53C35"/>
    <w:rsid w:val="00F543AA"/>
    <w:rsid w:val="00F5479A"/>
    <w:rsid w:val="00F56025"/>
    <w:rsid w:val="00F56D98"/>
    <w:rsid w:val="00F61B2B"/>
    <w:rsid w:val="00F62293"/>
    <w:rsid w:val="00F628B3"/>
    <w:rsid w:val="00F63720"/>
    <w:rsid w:val="00F63DDA"/>
    <w:rsid w:val="00F653EA"/>
    <w:rsid w:val="00F65BE0"/>
    <w:rsid w:val="00F70AFE"/>
    <w:rsid w:val="00F7359F"/>
    <w:rsid w:val="00F7625F"/>
    <w:rsid w:val="00F77465"/>
    <w:rsid w:val="00F801D7"/>
    <w:rsid w:val="00F81881"/>
    <w:rsid w:val="00F82759"/>
    <w:rsid w:val="00F836C1"/>
    <w:rsid w:val="00F8505F"/>
    <w:rsid w:val="00F86A1D"/>
    <w:rsid w:val="00F91FEA"/>
    <w:rsid w:val="00F941BB"/>
    <w:rsid w:val="00F96421"/>
    <w:rsid w:val="00FA2D5F"/>
    <w:rsid w:val="00FA4531"/>
    <w:rsid w:val="00FA4F63"/>
    <w:rsid w:val="00FA5C42"/>
    <w:rsid w:val="00FA61E5"/>
    <w:rsid w:val="00FA7500"/>
    <w:rsid w:val="00FA7A51"/>
    <w:rsid w:val="00FA7BFC"/>
    <w:rsid w:val="00FB090F"/>
    <w:rsid w:val="00FB0BCA"/>
    <w:rsid w:val="00FB0EB3"/>
    <w:rsid w:val="00FB3B4E"/>
    <w:rsid w:val="00FB3FAC"/>
    <w:rsid w:val="00FB5523"/>
    <w:rsid w:val="00FB6188"/>
    <w:rsid w:val="00FB7C19"/>
    <w:rsid w:val="00FC087E"/>
    <w:rsid w:val="00FC1CFA"/>
    <w:rsid w:val="00FC239A"/>
    <w:rsid w:val="00FC2CAA"/>
    <w:rsid w:val="00FC2F64"/>
    <w:rsid w:val="00FC4572"/>
    <w:rsid w:val="00FC65FD"/>
    <w:rsid w:val="00FC75CE"/>
    <w:rsid w:val="00FD3986"/>
    <w:rsid w:val="00FE0020"/>
    <w:rsid w:val="00FE3665"/>
    <w:rsid w:val="00FE37C8"/>
    <w:rsid w:val="00FE4354"/>
    <w:rsid w:val="00FE451E"/>
    <w:rsid w:val="00FE4A15"/>
    <w:rsid w:val="00FE7745"/>
    <w:rsid w:val="00FF1025"/>
    <w:rsid w:val="00FF1EBA"/>
    <w:rsid w:val="00FF4341"/>
    <w:rsid w:val="00FF77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6CEF"/>
  <w15:chartTrackingRefBased/>
  <w15:docId w15:val="{B95A2D02-6E3F-4E72-8A66-CE3271A5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609"/>
    <w:pPr>
      <w:ind w:left="720"/>
      <w:contextualSpacing/>
    </w:pPr>
  </w:style>
  <w:style w:type="paragraph" w:styleId="Notedebasdepage">
    <w:name w:val="footnote text"/>
    <w:basedOn w:val="Normal"/>
    <w:link w:val="NotedebasdepageCar"/>
    <w:uiPriority w:val="99"/>
    <w:semiHidden/>
    <w:unhideWhenUsed/>
    <w:rsid w:val="00F16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403"/>
    <w:rPr>
      <w:sz w:val="20"/>
      <w:szCs w:val="20"/>
    </w:rPr>
  </w:style>
  <w:style w:type="character" w:styleId="Appelnotedebasdep">
    <w:name w:val="footnote reference"/>
    <w:basedOn w:val="Policepardfaut"/>
    <w:uiPriority w:val="99"/>
    <w:semiHidden/>
    <w:unhideWhenUsed/>
    <w:rsid w:val="00F16403"/>
    <w:rPr>
      <w:vertAlign w:val="superscript"/>
    </w:rPr>
  </w:style>
  <w:style w:type="character" w:styleId="Lienhypertexte">
    <w:name w:val="Hyperlink"/>
    <w:basedOn w:val="Policepardfaut"/>
    <w:uiPriority w:val="99"/>
    <w:unhideWhenUsed/>
    <w:rsid w:val="00AE17DD"/>
    <w:rPr>
      <w:color w:val="0000FF"/>
      <w:u w:val="single"/>
    </w:rPr>
  </w:style>
  <w:style w:type="character" w:styleId="Lienhypertextesuivivisit">
    <w:name w:val="FollowedHyperlink"/>
    <w:basedOn w:val="Policepardfaut"/>
    <w:uiPriority w:val="99"/>
    <w:semiHidden/>
    <w:unhideWhenUsed/>
    <w:rsid w:val="005411A3"/>
    <w:rPr>
      <w:color w:val="954F72" w:themeColor="followedHyperlink"/>
      <w:u w:val="single"/>
    </w:rPr>
  </w:style>
  <w:style w:type="paragraph" w:customStyle="1" w:styleId="paragraph">
    <w:name w:val="paragraph"/>
    <w:basedOn w:val="Normal"/>
    <w:rsid w:val="00A6011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Commentaire">
    <w:name w:val="annotation text"/>
    <w:basedOn w:val="Normal"/>
    <w:link w:val="CommentaireCar"/>
    <w:uiPriority w:val="99"/>
    <w:semiHidden/>
    <w:unhideWhenUsed/>
    <w:rsid w:val="00DB4A19"/>
    <w:pPr>
      <w:spacing w:line="240" w:lineRule="auto"/>
    </w:pPr>
    <w:rPr>
      <w:sz w:val="20"/>
      <w:szCs w:val="20"/>
    </w:rPr>
  </w:style>
  <w:style w:type="character" w:customStyle="1" w:styleId="CommentaireCar">
    <w:name w:val="Commentaire Car"/>
    <w:basedOn w:val="Policepardfaut"/>
    <w:link w:val="Commentaire"/>
    <w:uiPriority w:val="99"/>
    <w:semiHidden/>
    <w:rsid w:val="00DB4A19"/>
    <w:rPr>
      <w:sz w:val="20"/>
      <w:szCs w:val="20"/>
    </w:rPr>
  </w:style>
  <w:style w:type="character" w:styleId="Marquedecommentaire">
    <w:name w:val="annotation reference"/>
    <w:basedOn w:val="Policepardfaut"/>
    <w:uiPriority w:val="99"/>
    <w:semiHidden/>
    <w:unhideWhenUsed/>
    <w:rsid w:val="00DB4A19"/>
    <w:rPr>
      <w:sz w:val="16"/>
      <w:szCs w:val="16"/>
    </w:rPr>
  </w:style>
  <w:style w:type="paragraph" w:styleId="En-tte">
    <w:name w:val="header"/>
    <w:basedOn w:val="Normal"/>
    <w:link w:val="En-tteCar"/>
    <w:uiPriority w:val="99"/>
    <w:unhideWhenUsed/>
    <w:rsid w:val="00C129E5"/>
    <w:pPr>
      <w:tabs>
        <w:tab w:val="center" w:pos="4513"/>
        <w:tab w:val="right" w:pos="9026"/>
      </w:tabs>
      <w:spacing w:after="0" w:line="240" w:lineRule="auto"/>
    </w:pPr>
  </w:style>
  <w:style w:type="character" w:customStyle="1" w:styleId="En-tteCar">
    <w:name w:val="En-tête Car"/>
    <w:basedOn w:val="Policepardfaut"/>
    <w:link w:val="En-tte"/>
    <w:uiPriority w:val="99"/>
    <w:rsid w:val="00C129E5"/>
  </w:style>
  <w:style w:type="paragraph" w:styleId="Pieddepage">
    <w:name w:val="footer"/>
    <w:basedOn w:val="Normal"/>
    <w:link w:val="PieddepageCar"/>
    <w:uiPriority w:val="99"/>
    <w:unhideWhenUsed/>
    <w:rsid w:val="00C129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29E5"/>
  </w:style>
  <w:style w:type="character" w:styleId="Mentionnonrsolue">
    <w:name w:val="Unresolved Mention"/>
    <w:basedOn w:val="Policepardfaut"/>
    <w:uiPriority w:val="99"/>
    <w:semiHidden/>
    <w:unhideWhenUsed/>
    <w:rsid w:val="0067200A"/>
    <w:rPr>
      <w:color w:val="605E5C"/>
      <w:shd w:val="clear" w:color="auto" w:fill="E1DFDD"/>
    </w:rPr>
  </w:style>
  <w:style w:type="table" w:styleId="Grilledutableau">
    <w:name w:val="Table Grid"/>
    <w:basedOn w:val="TableauNormal"/>
    <w:uiPriority w:val="39"/>
    <w:rsid w:val="0051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F1EBA"/>
    <w:pPr>
      <w:spacing w:after="0" w:line="240" w:lineRule="auto"/>
    </w:pPr>
  </w:style>
  <w:style w:type="character" w:customStyle="1" w:styleId="ui-provider">
    <w:name w:val="ui-provider"/>
    <w:basedOn w:val="Policepardfaut"/>
    <w:rsid w:val="00297C5C"/>
  </w:style>
  <w:style w:type="paragraph" w:styleId="Objetducommentaire">
    <w:name w:val="annotation subject"/>
    <w:basedOn w:val="Commentaire"/>
    <w:next w:val="Commentaire"/>
    <w:link w:val="ObjetducommentaireCar"/>
    <w:uiPriority w:val="99"/>
    <w:semiHidden/>
    <w:unhideWhenUsed/>
    <w:rsid w:val="00811747"/>
    <w:rPr>
      <w:b/>
      <w:bCs/>
    </w:rPr>
  </w:style>
  <w:style w:type="character" w:customStyle="1" w:styleId="ObjetducommentaireCar">
    <w:name w:val="Objet du commentaire Car"/>
    <w:basedOn w:val="CommentaireCar"/>
    <w:link w:val="Objetducommentaire"/>
    <w:uiPriority w:val="99"/>
    <w:semiHidden/>
    <w:rsid w:val="00811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04">
      <w:bodyDiv w:val="1"/>
      <w:marLeft w:val="0"/>
      <w:marRight w:val="0"/>
      <w:marTop w:val="0"/>
      <w:marBottom w:val="0"/>
      <w:divBdr>
        <w:top w:val="none" w:sz="0" w:space="0" w:color="auto"/>
        <w:left w:val="none" w:sz="0" w:space="0" w:color="auto"/>
        <w:bottom w:val="none" w:sz="0" w:space="0" w:color="auto"/>
        <w:right w:val="none" w:sz="0" w:space="0" w:color="auto"/>
      </w:divBdr>
    </w:div>
    <w:div w:id="140923417">
      <w:bodyDiv w:val="1"/>
      <w:marLeft w:val="0"/>
      <w:marRight w:val="0"/>
      <w:marTop w:val="0"/>
      <w:marBottom w:val="0"/>
      <w:divBdr>
        <w:top w:val="none" w:sz="0" w:space="0" w:color="auto"/>
        <w:left w:val="none" w:sz="0" w:space="0" w:color="auto"/>
        <w:bottom w:val="none" w:sz="0" w:space="0" w:color="auto"/>
        <w:right w:val="none" w:sz="0" w:space="0" w:color="auto"/>
      </w:divBdr>
    </w:div>
    <w:div w:id="160586303">
      <w:bodyDiv w:val="1"/>
      <w:marLeft w:val="0"/>
      <w:marRight w:val="0"/>
      <w:marTop w:val="0"/>
      <w:marBottom w:val="0"/>
      <w:divBdr>
        <w:top w:val="none" w:sz="0" w:space="0" w:color="auto"/>
        <w:left w:val="none" w:sz="0" w:space="0" w:color="auto"/>
        <w:bottom w:val="none" w:sz="0" w:space="0" w:color="auto"/>
        <w:right w:val="none" w:sz="0" w:space="0" w:color="auto"/>
      </w:divBdr>
    </w:div>
    <w:div w:id="611862154">
      <w:bodyDiv w:val="1"/>
      <w:marLeft w:val="0"/>
      <w:marRight w:val="0"/>
      <w:marTop w:val="0"/>
      <w:marBottom w:val="0"/>
      <w:divBdr>
        <w:top w:val="none" w:sz="0" w:space="0" w:color="auto"/>
        <w:left w:val="none" w:sz="0" w:space="0" w:color="auto"/>
        <w:bottom w:val="none" w:sz="0" w:space="0" w:color="auto"/>
        <w:right w:val="none" w:sz="0" w:space="0" w:color="auto"/>
      </w:divBdr>
    </w:div>
    <w:div w:id="650137080">
      <w:bodyDiv w:val="1"/>
      <w:marLeft w:val="0"/>
      <w:marRight w:val="0"/>
      <w:marTop w:val="0"/>
      <w:marBottom w:val="0"/>
      <w:divBdr>
        <w:top w:val="none" w:sz="0" w:space="0" w:color="auto"/>
        <w:left w:val="none" w:sz="0" w:space="0" w:color="auto"/>
        <w:bottom w:val="none" w:sz="0" w:space="0" w:color="auto"/>
        <w:right w:val="none" w:sz="0" w:space="0" w:color="auto"/>
      </w:divBdr>
    </w:div>
    <w:div w:id="872108189">
      <w:bodyDiv w:val="1"/>
      <w:marLeft w:val="0"/>
      <w:marRight w:val="0"/>
      <w:marTop w:val="0"/>
      <w:marBottom w:val="0"/>
      <w:divBdr>
        <w:top w:val="none" w:sz="0" w:space="0" w:color="auto"/>
        <w:left w:val="none" w:sz="0" w:space="0" w:color="auto"/>
        <w:bottom w:val="none" w:sz="0" w:space="0" w:color="auto"/>
        <w:right w:val="none" w:sz="0" w:space="0" w:color="auto"/>
      </w:divBdr>
    </w:div>
    <w:div w:id="1008674518">
      <w:bodyDiv w:val="1"/>
      <w:marLeft w:val="0"/>
      <w:marRight w:val="0"/>
      <w:marTop w:val="0"/>
      <w:marBottom w:val="0"/>
      <w:divBdr>
        <w:top w:val="none" w:sz="0" w:space="0" w:color="auto"/>
        <w:left w:val="none" w:sz="0" w:space="0" w:color="auto"/>
        <w:bottom w:val="none" w:sz="0" w:space="0" w:color="auto"/>
        <w:right w:val="none" w:sz="0" w:space="0" w:color="auto"/>
      </w:divBdr>
    </w:div>
    <w:div w:id="1145662822">
      <w:bodyDiv w:val="1"/>
      <w:marLeft w:val="0"/>
      <w:marRight w:val="0"/>
      <w:marTop w:val="0"/>
      <w:marBottom w:val="0"/>
      <w:divBdr>
        <w:top w:val="none" w:sz="0" w:space="0" w:color="auto"/>
        <w:left w:val="none" w:sz="0" w:space="0" w:color="auto"/>
        <w:bottom w:val="none" w:sz="0" w:space="0" w:color="auto"/>
        <w:right w:val="none" w:sz="0" w:space="0" w:color="auto"/>
      </w:divBdr>
    </w:div>
    <w:div w:id="1224177627">
      <w:bodyDiv w:val="1"/>
      <w:marLeft w:val="0"/>
      <w:marRight w:val="0"/>
      <w:marTop w:val="0"/>
      <w:marBottom w:val="0"/>
      <w:divBdr>
        <w:top w:val="none" w:sz="0" w:space="0" w:color="auto"/>
        <w:left w:val="none" w:sz="0" w:space="0" w:color="auto"/>
        <w:bottom w:val="none" w:sz="0" w:space="0" w:color="auto"/>
        <w:right w:val="none" w:sz="0" w:space="0" w:color="auto"/>
      </w:divBdr>
    </w:div>
    <w:div w:id="1277520687">
      <w:bodyDiv w:val="1"/>
      <w:marLeft w:val="0"/>
      <w:marRight w:val="0"/>
      <w:marTop w:val="0"/>
      <w:marBottom w:val="0"/>
      <w:divBdr>
        <w:top w:val="none" w:sz="0" w:space="0" w:color="auto"/>
        <w:left w:val="none" w:sz="0" w:space="0" w:color="auto"/>
        <w:bottom w:val="none" w:sz="0" w:space="0" w:color="auto"/>
        <w:right w:val="none" w:sz="0" w:space="0" w:color="auto"/>
      </w:divBdr>
      <w:divsChild>
        <w:div w:id="1181311592">
          <w:marLeft w:val="0"/>
          <w:marRight w:val="0"/>
          <w:marTop w:val="0"/>
          <w:marBottom w:val="0"/>
          <w:divBdr>
            <w:top w:val="none" w:sz="0" w:space="0" w:color="auto"/>
            <w:left w:val="none" w:sz="0" w:space="0" w:color="auto"/>
            <w:bottom w:val="none" w:sz="0" w:space="0" w:color="auto"/>
            <w:right w:val="none" w:sz="0" w:space="0" w:color="auto"/>
          </w:divBdr>
          <w:divsChild>
            <w:div w:id="230192338">
              <w:marLeft w:val="0"/>
              <w:marRight w:val="0"/>
              <w:marTop w:val="0"/>
              <w:marBottom w:val="0"/>
              <w:divBdr>
                <w:top w:val="none" w:sz="0" w:space="0" w:color="auto"/>
                <w:left w:val="none" w:sz="0" w:space="0" w:color="auto"/>
                <w:bottom w:val="none" w:sz="0" w:space="0" w:color="auto"/>
                <w:right w:val="none" w:sz="0" w:space="0" w:color="auto"/>
              </w:divBdr>
              <w:divsChild>
                <w:div w:id="297148839">
                  <w:marLeft w:val="0"/>
                  <w:marRight w:val="0"/>
                  <w:marTop w:val="120"/>
                  <w:marBottom w:val="0"/>
                  <w:divBdr>
                    <w:top w:val="none" w:sz="0" w:space="0" w:color="auto"/>
                    <w:left w:val="none" w:sz="0" w:space="0" w:color="auto"/>
                    <w:bottom w:val="none" w:sz="0" w:space="0" w:color="auto"/>
                    <w:right w:val="none" w:sz="0" w:space="0" w:color="auto"/>
                  </w:divBdr>
                  <w:divsChild>
                    <w:div w:id="843519178">
                      <w:marLeft w:val="0"/>
                      <w:marRight w:val="0"/>
                      <w:marTop w:val="0"/>
                      <w:marBottom w:val="0"/>
                      <w:divBdr>
                        <w:top w:val="none" w:sz="0" w:space="0" w:color="auto"/>
                        <w:left w:val="none" w:sz="0" w:space="0" w:color="auto"/>
                        <w:bottom w:val="none" w:sz="0" w:space="0" w:color="auto"/>
                        <w:right w:val="none" w:sz="0" w:space="0" w:color="auto"/>
                      </w:divBdr>
                      <w:divsChild>
                        <w:div w:id="1409813312">
                          <w:marLeft w:val="0"/>
                          <w:marRight w:val="0"/>
                          <w:marTop w:val="0"/>
                          <w:marBottom w:val="0"/>
                          <w:divBdr>
                            <w:top w:val="none" w:sz="0" w:space="0" w:color="auto"/>
                            <w:left w:val="none" w:sz="0" w:space="0" w:color="auto"/>
                            <w:bottom w:val="none" w:sz="0" w:space="0" w:color="auto"/>
                            <w:right w:val="none" w:sz="0" w:space="0" w:color="auto"/>
                          </w:divBdr>
                          <w:divsChild>
                            <w:div w:id="596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7115">
      <w:bodyDiv w:val="1"/>
      <w:marLeft w:val="0"/>
      <w:marRight w:val="0"/>
      <w:marTop w:val="0"/>
      <w:marBottom w:val="0"/>
      <w:divBdr>
        <w:top w:val="none" w:sz="0" w:space="0" w:color="auto"/>
        <w:left w:val="none" w:sz="0" w:space="0" w:color="auto"/>
        <w:bottom w:val="none" w:sz="0" w:space="0" w:color="auto"/>
        <w:right w:val="none" w:sz="0" w:space="0" w:color="auto"/>
      </w:divBdr>
    </w:div>
    <w:div w:id="1347441073">
      <w:bodyDiv w:val="1"/>
      <w:marLeft w:val="0"/>
      <w:marRight w:val="0"/>
      <w:marTop w:val="0"/>
      <w:marBottom w:val="0"/>
      <w:divBdr>
        <w:top w:val="none" w:sz="0" w:space="0" w:color="auto"/>
        <w:left w:val="none" w:sz="0" w:space="0" w:color="auto"/>
        <w:bottom w:val="none" w:sz="0" w:space="0" w:color="auto"/>
        <w:right w:val="none" w:sz="0" w:space="0" w:color="auto"/>
      </w:divBdr>
    </w:div>
    <w:div w:id="1377000417">
      <w:bodyDiv w:val="1"/>
      <w:marLeft w:val="0"/>
      <w:marRight w:val="0"/>
      <w:marTop w:val="0"/>
      <w:marBottom w:val="0"/>
      <w:divBdr>
        <w:top w:val="none" w:sz="0" w:space="0" w:color="auto"/>
        <w:left w:val="none" w:sz="0" w:space="0" w:color="auto"/>
        <w:bottom w:val="none" w:sz="0" w:space="0" w:color="auto"/>
        <w:right w:val="none" w:sz="0" w:space="0" w:color="auto"/>
      </w:divBdr>
    </w:div>
    <w:div w:id="1465275347">
      <w:bodyDiv w:val="1"/>
      <w:marLeft w:val="0"/>
      <w:marRight w:val="0"/>
      <w:marTop w:val="0"/>
      <w:marBottom w:val="0"/>
      <w:divBdr>
        <w:top w:val="none" w:sz="0" w:space="0" w:color="auto"/>
        <w:left w:val="none" w:sz="0" w:space="0" w:color="auto"/>
        <w:bottom w:val="none" w:sz="0" w:space="0" w:color="auto"/>
        <w:right w:val="none" w:sz="0" w:space="0" w:color="auto"/>
      </w:divBdr>
      <w:divsChild>
        <w:div w:id="1189564177">
          <w:marLeft w:val="0"/>
          <w:marRight w:val="0"/>
          <w:marTop w:val="0"/>
          <w:marBottom w:val="195"/>
          <w:divBdr>
            <w:top w:val="none" w:sz="0" w:space="0" w:color="auto"/>
            <w:left w:val="none" w:sz="0" w:space="0" w:color="auto"/>
            <w:bottom w:val="none" w:sz="0" w:space="0" w:color="auto"/>
            <w:right w:val="none" w:sz="0" w:space="0" w:color="auto"/>
          </w:divBdr>
        </w:div>
      </w:divsChild>
    </w:div>
    <w:div w:id="1472214849">
      <w:bodyDiv w:val="1"/>
      <w:marLeft w:val="0"/>
      <w:marRight w:val="0"/>
      <w:marTop w:val="0"/>
      <w:marBottom w:val="0"/>
      <w:divBdr>
        <w:top w:val="none" w:sz="0" w:space="0" w:color="auto"/>
        <w:left w:val="none" w:sz="0" w:space="0" w:color="auto"/>
        <w:bottom w:val="none" w:sz="0" w:space="0" w:color="auto"/>
        <w:right w:val="none" w:sz="0" w:space="0" w:color="auto"/>
      </w:divBdr>
    </w:div>
    <w:div w:id="1507524753">
      <w:bodyDiv w:val="1"/>
      <w:marLeft w:val="0"/>
      <w:marRight w:val="0"/>
      <w:marTop w:val="0"/>
      <w:marBottom w:val="0"/>
      <w:divBdr>
        <w:top w:val="none" w:sz="0" w:space="0" w:color="auto"/>
        <w:left w:val="none" w:sz="0" w:space="0" w:color="auto"/>
        <w:bottom w:val="none" w:sz="0" w:space="0" w:color="auto"/>
        <w:right w:val="none" w:sz="0" w:space="0" w:color="auto"/>
      </w:divBdr>
    </w:div>
    <w:div w:id="1556356145">
      <w:bodyDiv w:val="1"/>
      <w:marLeft w:val="0"/>
      <w:marRight w:val="0"/>
      <w:marTop w:val="0"/>
      <w:marBottom w:val="0"/>
      <w:divBdr>
        <w:top w:val="none" w:sz="0" w:space="0" w:color="auto"/>
        <w:left w:val="none" w:sz="0" w:space="0" w:color="auto"/>
        <w:bottom w:val="none" w:sz="0" w:space="0" w:color="auto"/>
        <w:right w:val="none" w:sz="0" w:space="0" w:color="auto"/>
      </w:divBdr>
    </w:div>
    <w:div w:id="1722175096">
      <w:bodyDiv w:val="1"/>
      <w:marLeft w:val="0"/>
      <w:marRight w:val="0"/>
      <w:marTop w:val="0"/>
      <w:marBottom w:val="0"/>
      <w:divBdr>
        <w:top w:val="none" w:sz="0" w:space="0" w:color="auto"/>
        <w:left w:val="none" w:sz="0" w:space="0" w:color="auto"/>
        <w:bottom w:val="none" w:sz="0" w:space="0" w:color="auto"/>
        <w:right w:val="none" w:sz="0" w:space="0" w:color="auto"/>
      </w:divBdr>
    </w:div>
    <w:div w:id="1739210188">
      <w:bodyDiv w:val="1"/>
      <w:marLeft w:val="0"/>
      <w:marRight w:val="0"/>
      <w:marTop w:val="0"/>
      <w:marBottom w:val="0"/>
      <w:divBdr>
        <w:top w:val="none" w:sz="0" w:space="0" w:color="auto"/>
        <w:left w:val="none" w:sz="0" w:space="0" w:color="auto"/>
        <w:bottom w:val="none" w:sz="0" w:space="0" w:color="auto"/>
        <w:right w:val="none" w:sz="0" w:space="0" w:color="auto"/>
      </w:divBdr>
    </w:div>
    <w:div w:id="1847942157">
      <w:bodyDiv w:val="1"/>
      <w:marLeft w:val="0"/>
      <w:marRight w:val="0"/>
      <w:marTop w:val="0"/>
      <w:marBottom w:val="0"/>
      <w:divBdr>
        <w:top w:val="none" w:sz="0" w:space="0" w:color="auto"/>
        <w:left w:val="none" w:sz="0" w:space="0" w:color="auto"/>
        <w:bottom w:val="none" w:sz="0" w:space="0" w:color="auto"/>
        <w:right w:val="none" w:sz="0" w:space="0" w:color="auto"/>
      </w:divBdr>
    </w:div>
    <w:div w:id="1876307424">
      <w:bodyDiv w:val="1"/>
      <w:marLeft w:val="0"/>
      <w:marRight w:val="0"/>
      <w:marTop w:val="0"/>
      <w:marBottom w:val="0"/>
      <w:divBdr>
        <w:top w:val="none" w:sz="0" w:space="0" w:color="auto"/>
        <w:left w:val="none" w:sz="0" w:space="0" w:color="auto"/>
        <w:bottom w:val="none" w:sz="0" w:space="0" w:color="auto"/>
        <w:right w:val="none" w:sz="0" w:space="0" w:color="auto"/>
      </w:divBdr>
    </w:div>
    <w:div w:id="1943952927">
      <w:bodyDiv w:val="1"/>
      <w:marLeft w:val="0"/>
      <w:marRight w:val="0"/>
      <w:marTop w:val="0"/>
      <w:marBottom w:val="0"/>
      <w:divBdr>
        <w:top w:val="none" w:sz="0" w:space="0" w:color="auto"/>
        <w:left w:val="none" w:sz="0" w:space="0" w:color="auto"/>
        <w:bottom w:val="none" w:sz="0" w:space="0" w:color="auto"/>
        <w:right w:val="none" w:sz="0" w:space="0" w:color="auto"/>
      </w:divBdr>
    </w:div>
    <w:div w:id="2004384623">
      <w:bodyDiv w:val="1"/>
      <w:marLeft w:val="0"/>
      <w:marRight w:val="0"/>
      <w:marTop w:val="0"/>
      <w:marBottom w:val="0"/>
      <w:divBdr>
        <w:top w:val="none" w:sz="0" w:space="0" w:color="auto"/>
        <w:left w:val="none" w:sz="0" w:space="0" w:color="auto"/>
        <w:bottom w:val="none" w:sz="0" w:space="0" w:color="auto"/>
        <w:right w:val="none" w:sz="0" w:space="0" w:color="auto"/>
      </w:divBdr>
    </w:div>
    <w:div w:id="20573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acvcsc.sharepoint.com/sites/ACVCSCIntraSect119/Shared%20Documents/nota's%20-notes/EFI%20sectorielle%20119/231031%20B&#233;n&#233;fices%20commerce%20alim%20119%20&amp;%2047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cvcsc.sharepoint.com/sites/ACVCSCIntraSect119/Shared%20Documents/nota's%20-notes/EFI%20sectorielle%20119/231031%20B&#233;n&#233;fices%20commerce%20alim%20119%20&amp;%2047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cvcsc.sharepoint.com/sites/ACVCSCIntraSect119/Shared%20Documents/nota's%20-notes/EFI%20sectorielle%20119/231031%20B&#233;n&#233;fices%20commerce%20alim%20119%20&amp;%2047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cvcsc.sharepoint.com/sites/ACVCSCIntraSect119/Shared%20Documents/nota's%20-notes/EFI%20sectorielle%20119/231031%20B&#233;n&#233;fices%20commerce%20alim%20119%20&amp;%2047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fr-BE"/>
              <a:t>Sales in millions of euros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lineChart>
        <c:grouping val="standard"/>
        <c:varyColors val="0"/>
        <c:ser>
          <c:idx val="0"/>
          <c:order val="0"/>
          <c:tx>
            <c:strRef>
              <c:f>Feuil1!$A$2</c:f>
              <c:strCache>
                <c:ptCount val="1"/>
                <c:pt idx="0">
                  <c:v>Sales (in millions of euros)</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Feuil1!$B$1:$F$1</c:f>
              <c:numCache>
                <c:formatCode>General</c:formatCode>
                <c:ptCount val="5"/>
                <c:pt idx="0">
                  <c:v>2022</c:v>
                </c:pt>
                <c:pt idx="1">
                  <c:v>2021</c:v>
                </c:pt>
                <c:pt idx="2">
                  <c:v>2020</c:v>
                </c:pt>
                <c:pt idx="3">
                  <c:v>2019</c:v>
                </c:pt>
                <c:pt idx="4">
                  <c:v>2018</c:v>
                </c:pt>
              </c:numCache>
            </c:numRef>
          </c:cat>
          <c:val>
            <c:numRef>
              <c:f>Feuil1!$B$2:$F$2</c:f>
              <c:numCache>
                <c:formatCode>#,##0</c:formatCode>
                <c:ptCount val="5"/>
                <c:pt idx="0">
                  <c:v>7467.201</c:v>
                </c:pt>
                <c:pt idx="1">
                  <c:v>7071.7430000000004</c:v>
                </c:pt>
                <c:pt idx="2">
                  <c:v>7314.5529999999999</c:v>
                </c:pt>
                <c:pt idx="3">
                  <c:v>6965.2650000000003</c:v>
                </c:pt>
                <c:pt idx="4">
                  <c:v>6733.3440000000001</c:v>
                </c:pt>
              </c:numCache>
            </c:numRef>
          </c:val>
          <c:smooth val="0"/>
          <c:extLst>
            <c:ext xmlns:c16="http://schemas.microsoft.com/office/drawing/2014/chart" uri="{C3380CC4-5D6E-409C-BE32-E72D297353CC}">
              <c16:uniqueId val="{00000000-FCB7-4FAB-82DC-59B8B9DA68BD}"/>
            </c:ext>
          </c:extLst>
        </c:ser>
        <c:dLbls>
          <c:dLblPos val="t"/>
          <c:showLegendKey val="0"/>
          <c:showVal val="1"/>
          <c:showCatName val="0"/>
          <c:showSerName val="0"/>
          <c:showPercent val="0"/>
          <c:showBubbleSize val="0"/>
        </c:dLbls>
        <c:smooth val="0"/>
        <c:axId val="492133808"/>
        <c:axId val="492135608"/>
      </c:lineChart>
      <c:catAx>
        <c:axId val="492133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492135608"/>
        <c:crosses val="autoZero"/>
        <c:auto val="1"/>
        <c:lblAlgn val="ctr"/>
        <c:lblOffset val="100"/>
        <c:noMultiLvlLbl val="0"/>
      </c:catAx>
      <c:valAx>
        <c:axId val="492135608"/>
        <c:scaling>
          <c:orientation val="minMax"/>
          <c:min val="5000"/>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492133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Operating profit and taxes in millions of euros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lineChart>
        <c:grouping val="standard"/>
        <c:varyColors val="0"/>
        <c:ser>
          <c:idx val="0"/>
          <c:order val="0"/>
          <c:tx>
            <c:strRef>
              <c:f>Feuil1!$A$6</c:f>
              <c:strCache>
                <c:ptCount val="1"/>
                <c:pt idx="0">
                  <c:v>Operational profit </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Feuil1!$B$5:$F$5</c:f>
              <c:numCache>
                <c:formatCode>General</c:formatCode>
                <c:ptCount val="5"/>
                <c:pt idx="0">
                  <c:v>2022</c:v>
                </c:pt>
                <c:pt idx="1">
                  <c:v>2021</c:v>
                </c:pt>
                <c:pt idx="2">
                  <c:v>2020</c:v>
                </c:pt>
                <c:pt idx="3">
                  <c:v>2019</c:v>
                </c:pt>
                <c:pt idx="4">
                  <c:v>2018</c:v>
                </c:pt>
              </c:numCache>
            </c:numRef>
          </c:cat>
          <c:val>
            <c:numRef>
              <c:f>Feuil1!$B$6:$F$6</c:f>
              <c:numCache>
                <c:formatCode>#,##0</c:formatCode>
                <c:ptCount val="5"/>
                <c:pt idx="0">
                  <c:v>1441.656381</c:v>
                </c:pt>
                <c:pt idx="1">
                  <c:v>1609.0416970000001</c:v>
                </c:pt>
                <c:pt idx="2">
                  <c:v>1780.9383339999999</c:v>
                </c:pt>
                <c:pt idx="3">
                  <c:v>1456.284592</c:v>
                </c:pt>
                <c:pt idx="4">
                  <c:v>1339.7915849999999</c:v>
                </c:pt>
              </c:numCache>
            </c:numRef>
          </c:val>
          <c:smooth val="0"/>
          <c:extLst>
            <c:ext xmlns:c16="http://schemas.microsoft.com/office/drawing/2014/chart" uri="{C3380CC4-5D6E-409C-BE32-E72D297353CC}">
              <c16:uniqueId val="{00000000-A1EF-4E49-83C2-9AD7A657E111}"/>
            </c:ext>
          </c:extLst>
        </c:ser>
        <c:ser>
          <c:idx val="1"/>
          <c:order val="1"/>
          <c:tx>
            <c:strRef>
              <c:f>Feuil1!$A$7</c:f>
              <c:strCache>
                <c:ptCount val="1"/>
                <c:pt idx="0">
                  <c:v>Taxes on profit</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Feuil1!$B$5:$F$5</c:f>
              <c:numCache>
                <c:formatCode>General</c:formatCode>
                <c:ptCount val="5"/>
                <c:pt idx="0">
                  <c:v>2022</c:v>
                </c:pt>
                <c:pt idx="1">
                  <c:v>2021</c:v>
                </c:pt>
                <c:pt idx="2">
                  <c:v>2020</c:v>
                </c:pt>
                <c:pt idx="3">
                  <c:v>2019</c:v>
                </c:pt>
                <c:pt idx="4">
                  <c:v>2018</c:v>
                </c:pt>
              </c:numCache>
            </c:numRef>
          </c:cat>
          <c:val>
            <c:numRef>
              <c:f>Feuil1!$B$7:$F$7</c:f>
              <c:numCache>
                <c:formatCode>0</c:formatCode>
                <c:ptCount val="5"/>
                <c:pt idx="0">
                  <c:v>372.04960399999999</c:v>
                </c:pt>
                <c:pt idx="1">
                  <c:v>394.822295</c:v>
                </c:pt>
                <c:pt idx="2">
                  <c:v>393.38708700000001</c:v>
                </c:pt>
                <c:pt idx="3">
                  <c:v>360.23031700000001</c:v>
                </c:pt>
                <c:pt idx="4">
                  <c:v>350.85080399999998</c:v>
                </c:pt>
              </c:numCache>
            </c:numRef>
          </c:val>
          <c:smooth val="0"/>
          <c:extLst>
            <c:ext xmlns:c16="http://schemas.microsoft.com/office/drawing/2014/chart" uri="{C3380CC4-5D6E-409C-BE32-E72D297353CC}">
              <c16:uniqueId val="{00000001-A1EF-4E49-83C2-9AD7A657E111}"/>
            </c:ext>
          </c:extLst>
        </c:ser>
        <c:dLbls>
          <c:dLblPos val="t"/>
          <c:showLegendKey val="0"/>
          <c:showVal val="1"/>
          <c:showCatName val="0"/>
          <c:showSerName val="0"/>
          <c:showPercent val="0"/>
          <c:showBubbleSize val="0"/>
        </c:dLbls>
        <c:smooth val="0"/>
        <c:axId val="500238656"/>
        <c:axId val="366856584"/>
      </c:lineChart>
      <c:catAx>
        <c:axId val="50023865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366856584"/>
        <c:crosses val="autoZero"/>
        <c:auto val="1"/>
        <c:lblAlgn val="ctr"/>
        <c:lblOffset val="100"/>
        <c:noMultiLvlLbl val="0"/>
      </c:catAx>
      <c:valAx>
        <c:axId val="36685658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5002386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800" b="1" i="0" baseline="0">
                <a:effectLst/>
              </a:rPr>
              <a:t>Operating profit in millions of euros</a:t>
            </a:r>
            <a:endParaRPr lang="fr-BE">
              <a:effectLst/>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lineChart>
        <c:grouping val="standard"/>
        <c:varyColors val="0"/>
        <c:ser>
          <c:idx val="0"/>
          <c:order val="0"/>
          <c:tx>
            <c:strRef>
              <c:f>Feuil1!$A$10</c:f>
              <c:strCache>
                <c:ptCount val="1"/>
                <c:pt idx="0">
                  <c:v>50 workers and more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Feuil1!$B$9:$F$9</c:f>
              <c:numCache>
                <c:formatCode>General</c:formatCode>
                <c:ptCount val="5"/>
                <c:pt idx="0">
                  <c:v>2022</c:v>
                </c:pt>
                <c:pt idx="1">
                  <c:v>2021</c:v>
                </c:pt>
                <c:pt idx="2">
                  <c:v>2020</c:v>
                </c:pt>
                <c:pt idx="3">
                  <c:v>2019</c:v>
                </c:pt>
                <c:pt idx="4">
                  <c:v>2018</c:v>
                </c:pt>
              </c:numCache>
            </c:numRef>
          </c:cat>
          <c:val>
            <c:numRef>
              <c:f>Feuil1!$B$10:$F$10</c:f>
              <c:numCache>
                <c:formatCode>#,##0</c:formatCode>
                <c:ptCount val="5"/>
                <c:pt idx="0">
                  <c:v>372.35921999999999</c:v>
                </c:pt>
                <c:pt idx="1">
                  <c:v>479.20678700000002</c:v>
                </c:pt>
                <c:pt idx="2">
                  <c:v>792.95808699999998</c:v>
                </c:pt>
                <c:pt idx="3">
                  <c:v>704.10284100000001</c:v>
                </c:pt>
                <c:pt idx="4">
                  <c:v>586.01731800000005</c:v>
                </c:pt>
              </c:numCache>
            </c:numRef>
          </c:val>
          <c:smooth val="0"/>
          <c:extLst>
            <c:ext xmlns:c16="http://schemas.microsoft.com/office/drawing/2014/chart" uri="{C3380CC4-5D6E-409C-BE32-E72D297353CC}">
              <c16:uniqueId val="{00000000-8F6A-4DBF-8BA1-D132911E5C4A}"/>
            </c:ext>
          </c:extLst>
        </c:ser>
        <c:ser>
          <c:idx val="1"/>
          <c:order val="1"/>
          <c:tx>
            <c:strRef>
              <c:f>Feuil1!$A$11</c:f>
              <c:strCache>
                <c:ptCount val="1"/>
                <c:pt idx="0">
                  <c:v>Less than 50 workers</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Feuil1!$B$9:$F$9</c:f>
              <c:numCache>
                <c:formatCode>General</c:formatCode>
                <c:ptCount val="5"/>
                <c:pt idx="0">
                  <c:v>2022</c:v>
                </c:pt>
                <c:pt idx="1">
                  <c:v>2021</c:v>
                </c:pt>
                <c:pt idx="2">
                  <c:v>2020</c:v>
                </c:pt>
                <c:pt idx="3">
                  <c:v>2019</c:v>
                </c:pt>
                <c:pt idx="4">
                  <c:v>2018</c:v>
                </c:pt>
              </c:numCache>
            </c:numRef>
          </c:cat>
          <c:val>
            <c:numRef>
              <c:f>Feuil1!$B$11:$F$11</c:f>
              <c:numCache>
                <c:formatCode>#,##0</c:formatCode>
                <c:ptCount val="5"/>
                <c:pt idx="0">
                  <c:v>1063.551326</c:v>
                </c:pt>
                <c:pt idx="1">
                  <c:v>1124.3183529999999</c:v>
                </c:pt>
                <c:pt idx="2">
                  <c:v>984.04867000000002</c:v>
                </c:pt>
                <c:pt idx="3">
                  <c:v>747.604783</c:v>
                </c:pt>
                <c:pt idx="4">
                  <c:v>749.99921900000004</c:v>
                </c:pt>
              </c:numCache>
            </c:numRef>
          </c:val>
          <c:smooth val="0"/>
          <c:extLst>
            <c:ext xmlns:c16="http://schemas.microsoft.com/office/drawing/2014/chart" uri="{C3380CC4-5D6E-409C-BE32-E72D297353CC}">
              <c16:uniqueId val="{00000001-8F6A-4DBF-8BA1-D132911E5C4A}"/>
            </c:ext>
          </c:extLst>
        </c:ser>
        <c:dLbls>
          <c:dLblPos val="t"/>
          <c:showLegendKey val="0"/>
          <c:showVal val="1"/>
          <c:showCatName val="0"/>
          <c:showSerName val="0"/>
          <c:showPercent val="0"/>
          <c:showBubbleSize val="0"/>
        </c:dLbls>
        <c:smooth val="0"/>
        <c:axId val="741237608"/>
        <c:axId val="741236528"/>
      </c:lineChart>
      <c:catAx>
        <c:axId val="7412376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741236528"/>
        <c:crosses val="autoZero"/>
        <c:auto val="1"/>
        <c:lblAlgn val="ctr"/>
        <c:lblOffset val="100"/>
        <c:noMultiLvlLbl val="0"/>
      </c:catAx>
      <c:valAx>
        <c:axId val="74123652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74123760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fr-BE"/>
              <a:t>Shareholders and directors remuneration</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lineChart>
        <c:grouping val="standard"/>
        <c:varyColors val="0"/>
        <c:ser>
          <c:idx val="0"/>
          <c:order val="0"/>
          <c:tx>
            <c:strRef>
              <c:f>Feuil1!$A$15</c:f>
              <c:strCache>
                <c:ptCount val="1"/>
                <c:pt idx="0">
                  <c:v>Shareholder's remuneration</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Feuil1!$B$14:$F$14</c:f>
              <c:numCache>
                <c:formatCode>General</c:formatCode>
                <c:ptCount val="5"/>
                <c:pt idx="0">
                  <c:v>2022</c:v>
                </c:pt>
                <c:pt idx="1">
                  <c:v>2021</c:v>
                </c:pt>
                <c:pt idx="2">
                  <c:v>2020</c:v>
                </c:pt>
                <c:pt idx="3">
                  <c:v>2019</c:v>
                </c:pt>
                <c:pt idx="4">
                  <c:v>2018</c:v>
                </c:pt>
              </c:numCache>
            </c:numRef>
          </c:cat>
          <c:val>
            <c:numRef>
              <c:f>Feuil1!$B$15:$F$15</c:f>
              <c:numCache>
                <c:formatCode>#,##0</c:formatCode>
                <c:ptCount val="5"/>
                <c:pt idx="0">
                  <c:v>716.63620600000002</c:v>
                </c:pt>
                <c:pt idx="1">
                  <c:v>1075.4307699999999</c:v>
                </c:pt>
                <c:pt idx="2">
                  <c:v>1167.5348369999999</c:v>
                </c:pt>
                <c:pt idx="3">
                  <c:v>738.43570399999999</c:v>
                </c:pt>
                <c:pt idx="4">
                  <c:v>447.108428</c:v>
                </c:pt>
              </c:numCache>
            </c:numRef>
          </c:val>
          <c:smooth val="0"/>
          <c:extLst>
            <c:ext xmlns:c16="http://schemas.microsoft.com/office/drawing/2014/chart" uri="{C3380CC4-5D6E-409C-BE32-E72D297353CC}">
              <c16:uniqueId val="{00000000-62F4-41AB-B321-DE429EA79CCB}"/>
            </c:ext>
          </c:extLst>
        </c:ser>
        <c:ser>
          <c:idx val="1"/>
          <c:order val="1"/>
          <c:tx>
            <c:strRef>
              <c:f>Feuil1!$A$16</c:f>
              <c:strCache>
                <c:ptCount val="1"/>
                <c:pt idx="0">
                  <c:v>Bonus to administrators and directors</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Feuil1!$B$14:$F$14</c:f>
              <c:numCache>
                <c:formatCode>General</c:formatCode>
                <c:ptCount val="5"/>
                <c:pt idx="0">
                  <c:v>2022</c:v>
                </c:pt>
                <c:pt idx="1">
                  <c:v>2021</c:v>
                </c:pt>
                <c:pt idx="2">
                  <c:v>2020</c:v>
                </c:pt>
                <c:pt idx="3">
                  <c:v>2019</c:v>
                </c:pt>
                <c:pt idx="4">
                  <c:v>2018</c:v>
                </c:pt>
              </c:numCache>
            </c:numRef>
          </c:cat>
          <c:val>
            <c:numRef>
              <c:f>Feuil1!$B$16:$F$16</c:f>
              <c:numCache>
                <c:formatCode>#,##0</c:formatCode>
                <c:ptCount val="5"/>
                <c:pt idx="0">
                  <c:v>67.301595000000006</c:v>
                </c:pt>
                <c:pt idx="1">
                  <c:v>75.246483999999995</c:v>
                </c:pt>
                <c:pt idx="2">
                  <c:v>68.028582999999998</c:v>
                </c:pt>
                <c:pt idx="3">
                  <c:v>53.911113999999998</c:v>
                </c:pt>
                <c:pt idx="4">
                  <c:v>50.522699000000003</c:v>
                </c:pt>
              </c:numCache>
            </c:numRef>
          </c:val>
          <c:smooth val="0"/>
          <c:extLst>
            <c:ext xmlns:c16="http://schemas.microsoft.com/office/drawing/2014/chart" uri="{C3380CC4-5D6E-409C-BE32-E72D297353CC}">
              <c16:uniqueId val="{00000001-62F4-41AB-B321-DE429EA79CCB}"/>
            </c:ext>
          </c:extLst>
        </c:ser>
        <c:dLbls>
          <c:dLblPos val="t"/>
          <c:showLegendKey val="0"/>
          <c:showVal val="1"/>
          <c:showCatName val="0"/>
          <c:showSerName val="0"/>
          <c:showPercent val="0"/>
          <c:showBubbleSize val="0"/>
        </c:dLbls>
        <c:smooth val="0"/>
        <c:axId val="754543008"/>
        <c:axId val="754543368"/>
      </c:lineChart>
      <c:catAx>
        <c:axId val="7545430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754543368"/>
        <c:crosses val="autoZero"/>
        <c:auto val="1"/>
        <c:lblAlgn val="ctr"/>
        <c:lblOffset val="100"/>
        <c:noMultiLvlLbl val="0"/>
      </c:catAx>
      <c:valAx>
        <c:axId val="75454336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75454300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b25e640-7b39-4df1-a597-782c5e54b19a">ACVCSCINTRA-2066220921-5617</_dlc_DocId>
    <_dlc_DocIdUrl xmlns="5b25e640-7b39-4df1-a597-782c5e54b19a">
      <Url>https://acvcsc.sharepoint.com/sites/ACVCSCIntraSect119/_layouts/15/DocIdRedir.aspx?ID=ACVCSCINTRA-2066220921-5617</Url>
      <Description>ACVCSCINTRA-2066220921-5617</Description>
    </_dlc_DocIdUrl>
    <TaxCatchAll xmlns="5b25e640-7b39-4df1-a597-782c5e54b19a" xsi:nil="true"/>
    <lcf76f155ced4ddcb4097134ff3c332f xmlns="2c58bbf6-0f7c-430e-81e2-b1da01ea1f8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B0B5BB503B7F4A93E6E75D66AE072A" ma:contentTypeVersion="11" ma:contentTypeDescription="Crée un document." ma:contentTypeScope="" ma:versionID="6f942e475516a8c8a7bf5abd63fadfa5">
  <xsd:schema xmlns:xsd="http://www.w3.org/2001/XMLSchema" xmlns:xs="http://www.w3.org/2001/XMLSchema" xmlns:p="http://schemas.microsoft.com/office/2006/metadata/properties" xmlns:ns2="5b25e640-7b39-4df1-a597-782c5e54b19a" xmlns:ns3="2c58bbf6-0f7c-430e-81e2-b1da01ea1f8b" targetNamespace="http://schemas.microsoft.com/office/2006/metadata/properties" ma:root="true" ma:fieldsID="4708558befe9cec4c9f4edd8a33bc04b" ns2:_="" ns3:_="">
    <xsd:import namespace="5b25e640-7b39-4df1-a597-782c5e54b19a"/>
    <xsd:import namespace="2c58bbf6-0f7c-430e-81e2-b1da01ea1f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e640-7b39-4df1-a597-782c5e54b19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d781228d-1bae-4e9f-ab0b-c95244914c9a}" ma:internalName="TaxCatchAll" ma:showField="CatchAllData" ma:web="5b25e640-7b39-4df1-a597-782c5e54b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58bbf6-0f7c-430e-81e2-b1da01ea1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554C2-EDCA-413F-B9C5-FD0B7B4D8C8D}">
  <ds:schemaRefs>
    <ds:schemaRef ds:uri="http://schemas.microsoft.com/sharepoint/v3/contenttype/forms"/>
  </ds:schemaRefs>
</ds:datastoreItem>
</file>

<file path=customXml/itemProps2.xml><?xml version="1.0" encoding="utf-8"?>
<ds:datastoreItem xmlns:ds="http://schemas.openxmlformats.org/officeDocument/2006/customXml" ds:itemID="{27935BBD-958B-4FA3-B39A-9C126C8AAC5B}">
  <ds:schemaRefs>
    <ds:schemaRef ds:uri="http://schemas.microsoft.com/sharepoint/events"/>
  </ds:schemaRefs>
</ds:datastoreItem>
</file>

<file path=customXml/itemProps3.xml><?xml version="1.0" encoding="utf-8"?>
<ds:datastoreItem xmlns:ds="http://schemas.openxmlformats.org/officeDocument/2006/customXml" ds:itemID="{75971686-AC06-4AC5-9E54-43AEEEE1D88C}">
  <ds:schemaRefs>
    <ds:schemaRef ds:uri="http://schemas.openxmlformats.org/officeDocument/2006/bibliography"/>
  </ds:schemaRefs>
</ds:datastoreItem>
</file>

<file path=customXml/itemProps4.xml><?xml version="1.0" encoding="utf-8"?>
<ds:datastoreItem xmlns:ds="http://schemas.openxmlformats.org/officeDocument/2006/customXml" ds:itemID="{733183F9-71CC-4149-A8EA-1EEFA6F11B5A}">
  <ds:schemaRefs>
    <ds:schemaRef ds:uri="http://schemas.microsoft.com/office/2006/metadata/properties"/>
    <ds:schemaRef ds:uri="http://schemas.microsoft.com/office/infopath/2007/PartnerControls"/>
    <ds:schemaRef ds:uri="5b25e640-7b39-4df1-a597-782c5e54b19a"/>
    <ds:schemaRef ds:uri="2c58bbf6-0f7c-430e-81e2-b1da01ea1f8b"/>
  </ds:schemaRefs>
</ds:datastoreItem>
</file>

<file path=customXml/itemProps5.xml><?xml version="1.0" encoding="utf-8"?>
<ds:datastoreItem xmlns:ds="http://schemas.openxmlformats.org/officeDocument/2006/customXml" ds:itemID="{81CF871D-F320-4A04-9EFC-9F097726E5A5}"/>
</file>

<file path=docProps/app.xml><?xml version="1.0" encoding="utf-8"?>
<Properties xmlns="http://schemas.openxmlformats.org/officeDocument/2006/extended-properties" xmlns:vt="http://schemas.openxmlformats.org/officeDocument/2006/docPropsVTypes">
  <Template>Normal</Template>
  <TotalTime>186</TotalTime>
  <Pages>6</Pages>
  <Words>959</Words>
  <Characters>5276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Malay</dc:creator>
  <cp:keywords/>
  <dc:description/>
  <cp:lastModifiedBy>Olivier Malay</cp:lastModifiedBy>
  <cp:revision>91</cp:revision>
  <dcterms:created xsi:type="dcterms:W3CDTF">2023-10-17T14:54:00Z</dcterms:created>
  <dcterms:modified xsi:type="dcterms:W3CDTF">2023-11-03T14:08:00Z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0x01010032B0B5BB503B7F4A93E6E75D66AE072A</vt:lpwstr>
  </property>
  <property fmtid="{D5CDD505-2E9C-101B-9397-08002B2CF9AE}" pid="3" name="_dlc_DocIdItemGuid">
    <vt:lpwstr>0110c631-4114-42b1-bff2-de29e3d63e3f</vt:lpwstr>
  </property>
  <property fmtid="{D5CDD505-2E9C-101B-9397-08002B2CF9AE}" pid="4" name="MediaServiceImageTags">
    <vt:lpwstr/>
  </property>
</Properties>
</file>